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6B" w:rsidRDefault="0051016B" w:rsidP="0051016B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</w:rPr>
      </w:pPr>
      <w:r w:rsidRPr="0010267C">
        <w:rPr>
          <w:rFonts w:ascii="H_Avant Garde Book BT" w:hAnsi="H_Avant Garde Book BT" w:cs="H_Avant Garde Book BT"/>
        </w:rPr>
        <w:t xml:space="preserve">2. függelék </w:t>
      </w:r>
    </w:p>
    <w:p w:rsidR="0051016B" w:rsidRPr="00B34B26" w:rsidRDefault="0051016B" w:rsidP="0051016B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  <w:color w:val="222222"/>
        </w:rPr>
      </w:pPr>
      <w:proofErr w:type="gramStart"/>
      <w:r>
        <w:rPr>
          <w:rFonts w:ascii="H_Avant Garde Book BT" w:hAnsi="H_Avant Garde Book BT" w:cs="H_Avant Garde Book BT"/>
          <w:color w:val="222222"/>
        </w:rPr>
        <w:t>a</w:t>
      </w:r>
      <w:proofErr w:type="gramEnd"/>
      <w:r>
        <w:rPr>
          <w:rFonts w:ascii="H_Avant Garde Book BT" w:hAnsi="H_Avant Garde Book BT" w:cs="H_Avant Garde Book BT"/>
          <w:color w:val="222222"/>
        </w:rPr>
        <w:t xml:space="preserve"> helyi építési szabályzatról szóló 24/2014. (IX. 12. önkormányzati rendelethez</w:t>
      </w:r>
      <w:r w:rsidRPr="00B34B26">
        <w:rPr>
          <w:rFonts w:ascii="H_Avant Garde Book BT" w:hAnsi="H_Avant Garde Book BT" w:cs="H_Avant Garde Book BT"/>
          <w:color w:val="222222"/>
        </w:rPr>
        <w:t xml:space="preserve"> </w:t>
      </w:r>
    </w:p>
    <w:p w:rsidR="0051016B" w:rsidRPr="0010267C" w:rsidRDefault="0051016B" w:rsidP="0051016B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</w:rPr>
      </w:pPr>
      <w:bookmarkStart w:id="0" w:name="_GoBack"/>
      <w:bookmarkEnd w:id="0"/>
    </w:p>
    <w:p w:rsidR="0051016B" w:rsidRDefault="0051016B" w:rsidP="0051016B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Verdana" w:hAnsi="Verdana" w:cs="Verdana"/>
          <w:b/>
          <w:bCs/>
          <w:sz w:val="19"/>
          <w:szCs w:val="19"/>
        </w:rPr>
      </w:pPr>
      <w:r w:rsidRPr="0010267C">
        <w:rPr>
          <w:rFonts w:ascii="H_Avant Garde Book BT" w:hAnsi="H_Avant Garde Book BT" w:cs="H_Avant Garde Book BT"/>
        </w:rPr>
        <w:t>Régészeti lelőhelyekre vonatkozó előírások</w:t>
      </w:r>
      <w:r>
        <w:rPr>
          <w:rFonts w:ascii="H_Avant Garde Book BT" w:hAnsi="H_Avant Garde Book BT" w:cs="H_Avant Garde Book BT"/>
        </w:rPr>
        <w:t>at a</w:t>
      </w:r>
      <w:r w:rsidRPr="0010267C">
        <w:rPr>
          <w:rFonts w:ascii="Verdana" w:hAnsi="Verdana" w:cs="Verdana"/>
          <w:b/>
          <w:bCs/>
          <w:sz w:val="19"/>
          <w:szCs w:val="19"/>
        </w:rPr>
        <w:t xml:space="preserve"> kulturális örökség védelméről szóló 2001. évi LXIV. Törvény</w:t>
      </w:r>
      <w:r>
        <w:rPr>
          <w:rFonts w:ascii="Verdana" w:hAnsi="Verdana" w:cs="Verdana"/>
          <w:b/>
          <w:bCs/>
          <w:sz w:val="19"/>
          <w:szCs w:val="19"/>
        </w:rPr>
        <w:t xml:space="preserve">, valamint a </w:t>
      </w:r>
      <w:r w:rsidRPr="0010267C">
        <w:rPr>
          <w:rFonts w:ascii="Verdana" w:hAnsi="Verdana" w:cs="Verdana"/>
          <w:b/>
          <w:bCs/>
          <w:sz w:val="19"/>
          <w:szCs w:val="19"/>
        </w:rPr>
        <w:t>régészeti örökség és a műemléki érték védelmével kapcsolatos szabályokról szóló 393/2012. (XII. 20.) Korm. rendelet</w:t>
      </w:r>
      <w:r>
        <w:rPr>
          <w:rFonts w:ascii="Verdana" w:hAnsi="Verdana" w:cs="Verdana"/>
          <w:b/>
          <w:bCs/>
          <w:sz w:val="19"/>
          <w:szCs w:val="19"/>
        </w:rPr>
        <w:t xml:space="preserve"> tartalmazza, </w:t>
      </w:r>
      <w:r w:rsidRPr="00CF57D6">
        <w:rPr>
          <w:rFonts w:ascii="Verdana" w:hAnsi="Verdana" w:cs="Verdana"/>
          <w:bCs/>
          <w:sz w:val="19"/>
          <w:szCs w:val="19"/>
        </w:rPr>
        <w:t>különösen</w:t>
      </w:r>
      <w:r>
        <w:rPr>
          <w:rFonts w:ascii="Verdana" w:hAnsi="Verdana" w:cs="Verdana"/>
          <w:bCs/>
          <w:sz w:val="19"/>
          <w:szCs w:val="19"/>
        </w:rPr>
        <w:t xml:space="preserve"> az alábbiak szerint:</w:t>
      </w:r>
    </w:p>
    <w:p w:rsidR="0051016B" w:rsidRDefault="0051016B" w:rsidP="0051016B">
      <w:pPr>
        <w:jc w:val="both"/>
        <w:rPr>
          <w:rFonts w:ascii="Verdana" w:hAnsi="Verdana" w:cs="Verdana"/>
          <w:b/>
          <w:bCs/>
          <w:sz w:val="19"/>
          <w:szCs w:val="19"/>
          <w:shd w:val="clear" w:color="auto" w:fill="FFFFFF"/>
        </w:rPr>
      </w:pPr>
    </w:p>
    <w:p w:rsidR="0051016B" w:rsidRPr="00E45A5B" w:rsidRDefault="0051016B" w:rsidP="0051016B">
      <w:pPr>
        <w:jc w:val="both"/>
        <w:rPr>
          <w:rFonts w:ascii="Verdana" w:hAnsi="Verdana" w:cs="Verdana"/>
          <w:sz w:val="19"/>
          <w:szCs w:val="19"/>
        </w:rPr>
      </w:pP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8. §</w:t>
      </w:r>
      <w:r w:rsidRPr="00E45A5B">
        <w:rPr>
          <w:rStyle w:val="apple-converted-space"/>
          <w:rFonts w:ascii="Verdana" w:hAnsi="Verdana" w:cs="Verdana"/>
          <w:sz w:val="19"/>
          <w:szCs w:val="19"/>
          <w:shd w:val="clear" w:color="auto" w:fill="FFFFFF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(1) A Magyarország határain belül a föld felszínén, a földben, a vizek medrében vagy máshol rejlő vagy onnan előkerülő régészeti lelet állami tulajdon, és e törvény erejénél fogva védelem alatt áll.</w:t>
      </w:r>
      <w:r w:rsidRPr="00E45A5B">
        <w:rPr>
          <w:rFonts w:ascii="Verdana" w:hAnsi="Verdana" w:cs="Verdana"/>
          <w:sz w:val="19"/>
          <w:szCs w:val="19"/>
        </w:rPr>
        <w:t xml:space="preserve"> </w:t>
      </w:r>
    </w:p>
    <w:p w:rsidR="0051016B" w:rsidRPr="00E45A5B" w:rsidRDefault="0051016B" w:rsidP="0051016B">
      <w:pPr>
        <w:jc w:val="both"/>
        <w:rPr>
          <w:rFonts w:ascii="Verdana" w:hAnsi="Verdana" w:cs="Verdana"/>
          <w:sz w:val="19"/>
          <w:szCs w:val="19"/>
        </w:rPr>
      </w:pP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9. §</w:t>
      </w:r>
      <w:r w:rsidRPr="00E45A5B">
        <w:rPr>
          <w:rStyle w:val="apple-converted-space"/>
          <w:rFonts w:ascii="Verdana" w:hAnsi="Verdana" w:cs="Verdana"/>
          <w:sz w:val="19"/>
          <w:szCs w:val="19"/>
          <w:shd w:val="clear" w:color="auto" w:fill="FFFFFF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A régészeti lelőhelyeket - a fenntartható használat elvének figyelembevételével - csak olyan mértékben lehet igénybe venni, hogy azok állománya számottevően ne csökkenjen, illetve eredeti összefüggéseik jelentősen ne károsodjanak.</w:t>
      </w:r>
    </w:p>
    <w:p w:rsidR="0051016B" w:rsidRPr="00E45A5B" w:rsidRDefault="0051016B" w:rsidP="0051016B">
      <w:pPr>
        <w:pStyle w:val="NormlWeb"/>
        <w:shd w:val="clear" w:color="auto" w:fill="FFFFFF"/>
        <w:spacing w:before="0" w:beforeAutospacing="0" w:after="120" w:afterAutospacing="0"/>
        <w:ind w:right="136"/>
        <w:jc w:val="both"/>
        <w:rPr>
          <w:rFonts w:ascii="Verdana" w:hAnsi="Verdana" w:cs="Verdana"/>
          <w:sz w:val="19"/>
          <w:szCs w:val="19"/>
        </w:rPr>
      </w:pPr>
      <w:r w:rsidRPr="00E45A5B">
        <w:rPr>
          <w:rFonts w:ascii="Verdana" w:hAnsi="Verdana" w:cs="Verdana"/>
          <w:b/>
          <w:bCs/>
          <w:sz w:val="19"/>
          <w:szCs w:val="19"/>
        </w:rPr>
        <w:t>10. §</w:t>
      </w:r>
      <w:r w:rsidRPr="00E45A5B">
        <w:rPr>
          <w:rStyle w:val="apple-converted-space"/>
          <w:rFonts w:ascii="Verdana" w:hAnsi="Verdana" w:cs="Verdana"/>
          <w:sz w:val="19"/>
          <w:szCs w:val="19"/>
        </w:rPr>
        <w:t xml:space="preserve"> </w:t>
      </w:r>
      <w:r w:rsidRPr="00E45A5B">
        <w:rPr>
          <w:rFonts w:ascii="Verdana" w:hAnsi="Verdana" w:cs="Verdana"/>
          <w:sz w:val="19"/>
          <w:szCs w:val="19"/>
        </w:rPr>
        <w:t>(1) A régészeti örökség elemeit lehetőleg eredeti lelőhelyükön, eredeti állapotukban, eredeti összefüggéseikben kell megőrizni.</w:t>
      </w:r>
    </w:p>
    <w:p w:rsidR="0051016B" w:rsidRPr="00E45A5B" w:rsidRDefault="0051016B" w:rsidP="0051016B">
      <w:pPr>
        <w:pStyle w:val="NormlWeb"/>
        <w:shd w:val="clear" w:color="auto" w:fill="FFFFFF"/>
        <w:spacing w:before="0" w:beforeAutospacing="0" w:after="200" w:afterAutospacing="0"/>
        <w:ind w:right="136"/>
        <w:jc w:val="both"/>
        <w:rPr>
          <w:rFonts w:ascii="Verdana" w:hAnsi="Verdana" w:cs="Verdana"/>
          <w:sz w:val="19"/>
          <w:szCs w:val="19"/>
        </w:rPr>
      </w:pPr>
      <w:bookmarkStart w:id="1" w:name="pr73"/>
      <w:bookmarkEnd w:id="1"/>
      <w:r w:rsidRPr="00E45A5B">
        <w:rPr>
          <w:rFonts w:ascii="Verdana" w:hAnsi="Verdana" w:cs="Verdana"/>
          <w:sz w:val="19"/>
          <w:szCs w:val="19"/>
        </w:rPr>
        <w:t>(2) A régészeti lelőhelyek védelmére irányuló intézkedéseknek elsősorban megelőző, szükség esetén mentő jellegűeknek kell lenniük.</w:t>
      </w:r>
    </w:p>
    <w:p w:rsidR="0051016B" w:rsidRPr="00E45A5B" w:rsidRDefault="0051016B" w:rsidP="0051016B">
      <w:pPr>
        <w:jc w:val="both"/>
        <w:rPr>
          <w:rFonts w:ascii="Verdana" w:hAnsi="Verdana" w:cs="Verdana"/>
          <w:sz w:val="19"/>
          <w:szCs w:val="19"/>
        </w:rPr>
      </w:pP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11. §</w:t>
      </w:r>
      <w:r w:rsidRPr="00E45A5B">
        <w:rPr>
          <w:rStyle w:val="apple-converted-space"/>
          <w:rFonts w:ascii="Verdana" w:hAnsi="Verdana" w:cs="Verdana"/>
          <w:sz w:val="19"/>
          <w:szCs w:val="19"/>
          <w:shd w:val="clear" w:color="auto" w:fill="FFFFFF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A régészeti lelőhelyek e törvény erejénél fogva általános védelem alatt állnak.</w:t>
      </w:r>
      <w:r w:rsidRPr="00E45A5B">
        <w:rPr>
          <w:rFonts w:ascii="Verdana" w:hAnsi="Verdana" w:cs="Verdana"/>
          <w:sz w:val="19"/>
          <w:szCs w:val="19"/>
        </w:rPr>
        <w:t xml:space="preserve"> </w:t>
      </w:r>
    </w:p>
    <w:p w:rsidR="0051016B" w:rsidRPr="00E45A5B" w:rsidRDefault="0051016B" w:rsidP="0051016B">
      <w:pPr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13. §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 xml:space="preserve"> </w:t>
      </w:r>
      <w:r w:rsidRPr="00E45A5B">
        <w:rPr>
          <w:rFonts w:ascii="Verdana" w:hAnsi="Verdana" w:cs="Verdana"/>
          <w:sz w:val="19"/>
          <w:szCs w:val="19"/>
        </w:rPr>
        <w:t>(1) A védetté nyilvánított régészeti lelőhelyeken nem lehet olyan tevékenységet folytatni, amely</w:t>
      </w:r>
      <w:r>
        <w:rPr>
          <w:rFonts w:ascii="Verdana" w:hAnsi="Verdana" w:cs="Verdana"/>
          <w:sz w:val="19"/>
          <w:szCs w:val="19"/>
        </w:rPr>
        <w:t xml:space="preserve"> </w:t>
      </w:r>
      <w:r w:rsidRPr="00E45A5B">
        <w:rPr>
          <w:rFonts w:ascii="Verdana" w:hAnsi="Verdana" w:cs="Verdana"/>
          <w:sz w:val="19"/>
          <w:szCs w:val="19"/>
        </w:rPr>
        <w:t>a lelőhelynek akár részleges állapotromlását eredményezheti.</w:t>
      </w:r>
      <w:r>
        <w:rPr>
          <w:rFonts w:ascii="Verdana" w:hAnsi="Verdana" w:cs="Verdana"/>
          <w:sz w:val="19"/>
          <w:szCs w:val="19"/>
        </w:rPr>
        <w:t xml:space="preserve"> </w:t>
      </w:r>
    </w:p>
    <w:p w:rsidR="0051016B" w:rsidRPr="00E45A5B" w:rsidRDefault="0051016B" w:rsidP="0051016B">
      <w:pPr>
        <w:spacing w:after="120"/>
        <w:jc w:val="both"/>
        <w:rPr>
          <w:rFonts w:ascii="Verdana" w:hAnsi="Verdana" w:cs="Verdana"/>
          <w:sz w:val="19"/>
          <w:szCs w:val="19"/>
        </w:rPr>
      </w:pP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19. §</w:t>
      </w:r>
      <w:r w:rsidRPr="00E45A5B">
        <w:rPr>
          <w:rFonts w:ascii="Verdana" w:hAnsi="Verdana" w:cs="Verdana"/>
          <w:b/>
          <w:bCs/>
          <w:sz w:val="19"/>
          <w:szCs w:val="19"/>
          <w:shd w:val="clear" w:color="auto" w:fill="FFFFFF"/>
          <w:vertAlign w:val="superscript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(1)</w:t>
      </w:r>
      <w:r w:rsidRPr="00E45A5B">
        <w:rPr>
          <w:rFonts w:ascii="Verdana" w:hAnsi="Verdana" w:cs="Verdana"/>
          <w:sz w:val="19"/>
          <w:szCs w:val="19"/>
          <w:shd w:val="clear" w:color="auto" w:fill="FFFFFF"/>
          <w:vertAlign w:val="superscript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A földmunkával járó fejlesztésekkel, beruházásokkal - beleértve az ásványi vagyon kitermelését is - (a továbbiakban: fejlesztések, beruházások) a régészeti lelőhelyeket kormányrendeletben meghatározott esetekben és módon el kell kerülni.</w:t>
      </w:r>
    </w:p>
    <w:p w:rsidR="0051016B" w:rsidRPr="00CF57D6" w:rsidRDefault="0051016B" w:rsidP="0051016B">
      <w:pPr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r w:rsidRPr="00E45A5B">
        <w:rPr>
          <w:rFonts w:ascii="Verdana" w:hAnsi="Verdana" w:cs="Verdana"/>
          <w:sz w:val="19"/>
          <w:szCs w:val="19"/>
          <w:shd w:val="clear" w:color="auto" w:fill="FFFFFF"/>
        </w:rPr>
        <w:t>(2)</w:t>
      </w:r>
      <w:r w:rsidRPr="00E45A5B">
        <w:rPr>
          <w:rFonts w:ascii="Verdana" w:hAnsi="Verdana" w:cs="Verdana"/>
          <w:sz w:val="19"/>
          <w:szCs w:val="19"/>
          <w:shd w:val="clear" w:color="auto" w:fill="FFFFFF"/>
          <w:vertAlign w:val="superscript"/>
        </w:rPr>
        <w:t xml:space="preserve"> </w:t>
      </w:r>
      <w:r w:rsidRPr="00E45A5B">
        <w:rPr>
          <w:rFonts w:ascii="Verdana" w:hAnsi="Verdana" w:cs="Verdana"/>
          <w:sz w:val="19"/>
          <w:szCs w:val="19"/>
          <w:shd w:val="clear" w:color="auto" w:fill="FFFFFF"/>
        </w:rPr>
        <w:t>A régészeti örökség elemei eredeti helyzetükből csak régészeti feltárás keretében mozdíthatók el. Amennyiben a feltáráson előkerülő régészeti leletek a helyszínen nem őrizhetők meg, azokat kormányrendeletben meghatározottak szerint kell elhelyezni.</w:t>
      </w:r>
    </w:p>
    <w:p w:rsidR="0051016B" w:rsidRPr="00C037D8" w:rsidRDefault="0051016B" w:rsidP="0051016B">
      <w:pPr>
        <w:pStyle w:val="NormlWeb"/>
        <w:shd w:val="clear" w:color="auto" w:fill="FFFFFF"/>
        <w:spacing w:before="250" w:beforeAutospacing="0" w:after="250" w:afterAutospacing="0"/>
        <w:ind w:right="125"/>
        <w:jc w:val="center"/>
        <w:rPr>
          <w:rFonts w:ascii="Verdana" w:hAnsi="Verdana" w:cs="Verdana"/>
          <w:color w:val="222222"/>
          <w:sz w:val="19"/>
          <w:szCs w:val="19"/>
        </w:rPr>
      </w:pPr>
      <w:bookmarkStart w:id="2" w:name="pr21"/>
      <w:bookmarkEnd w:id="2"/>
      <w:r w:rsidRPr="00C037D8">
        <w:rPr>
          <w:rFonts w:ascii="Verdana" w:hAnsi="Verdana" w:cs="Verdana"/>
          <w:b/>
          <w:bCs/>
          <w:i/>
          <w:iCs/>
          <w:color w:val="222222"/>
          <w:sz w:val="19"/>
          <w:szCs w:val="19"/>
        </w:rPr>
        <w:t>II. FEJEZET</w:t>
      </w:r>
    </w:p>
    <w:p w:rsidR="0051016B" w:rsidRPr="00C037D8" w:rsidRDefault="0051016B" w:rsidP="0051016B">
      <w:pPr>
        <w:pStyle w:val="NormlWeb"/>
        <w:shd w:val="clear" w:color="auto" w:fill="FFFFFF"/>
        <w:spacing w:before="250" w:beforeAutospacing="0" w:after="250" w:afterAutospacing="0"/>
        <w:ind w:right="125"/>
        <w:jc w:val="center"/>
        <w:rPr>
          <w:rFonts w:ascii="Verdana" w:hAnsi="Verdana" w:cs="Verdana"/>
          <w:color w:val="222222"/>
          <w:sz w:val="19"/>
          <w:szCs w:val="19"/>
        </w:rPr>
      </w:pPr>
      <w:bookmarkStart w:id="3" w:name="pr22"/>
      <w:bookmarkEnd w:id="3"/>
      <w:r w:rsidRPr="00C037D8">
        <w:rPr>
          <w:rFonts w:ascii="Verdana" w:hAnsi="Verdana" w:cs="Verdana"/>
          <w:b/>
          <w:bCs/>
          <w:i/>
          <w:iCs/>
          <w:color w:val="222222"/>
          <w:sz w:val="19"/>
          <w:szCs w:val="19"/>
        </w:rPr>
        <w:t>ÖRÖKSÉGVÉDELMI ENGEDÉLYEZÉS</w:t>
      </w:r>
    </w:p>
    <w:p w:rsidR="0051016B" w:rsidRPr="00C037D8" w:rsidRDefault="0051016B" w:rsidP="0051016B">
      <w:pPr>
        <w:pStyle w:val="NormlWeb"/>
        <w:shd w:val="clear" w:color="auto" w:fill="FFFFFF"/>
        <w:spacing w:before="250" w:beforeAutospacing="0" w:after="250" w:afterAutospacing="0"/>
        <w:ind w:right="125"/>
        <w:jc w:val="both"/>
        <w:rPr>
          <w:rFonts w:ascii="Verdana" w:hAnsi="Verdana" w:cs="Verdana"/>
          <w:b/>
          <w:bCs/>
          <w:color w:val="222222"/>
          <w:sz w:val="19"/>
          <w:szCs w:val="19"/>
        </w:rPr>
      </w:pPr>
      <w:bookmarkStart w:id="4" w:name="pr23"/>
      <w:bookmarkEnd w:id="4"/>
      <w:r w:rsidRPr="00C037D8">
        <w:rPr>
          <w:rFonts w:ascii="Verdana" w:hAnsi="Verdana" w:cs="Verdana"/>
          <w:b/>
          <w:bCs/>
          <w:sz w:val="19"/>
          <w:szCs w:val="19"/>
        </w:rPr>
        <w:t>3. Örökségvédelmi engedélyhez kötött tevékenységek</w:t>
      </w:r>
    </w:p>
    <w:p w:rsidR="0051016B" w:rsidRPr="00FE64AB" w:rsidRDefault="0051016B" w:rsidP="0051016B">
      <w:pPr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r w:rsidRPr="00FE64AB">
        <w:rPr>
          <w:rFonts w:ascii="Verdana" w:hAnsi="Verdana" w:cs="Verdana"/>
          <w:b/>
          <w:bCs/>
          <w:sz w:val="19"/>
          <w:szCs w:val="19"/>
          <w:shd w:val="clear" w:color="auto" w:fill="FFFFFF"/>
        </w:rPr>
        <w:t>3. §</w:t>
      </w:r>
      <w:r w:rsidRPr="00FE64AB">
        <w:rPr>
          <w:rFonts w:ascii="Verdana" w:hAnsi="Verdana" w:cs="Verdana"/>
          <w:sz w:val="19"/>
          <w:szCs w:val="19"/>
          <w:shd w:val="clear" w:color="auto" w:fill="FFFFFF"/>
        </w:rPr>
        <w:t xml:space="preserve"> (1) Az örökségvédelmi hatóság engedélye (a továbbiakban: örökségvédelmi engedély) szükséges a (2)-(4) bekezdésben meghatározott tevékenységekhez, kivéve, ha azokhoz az építésügyi hatóság engedélye vagy más hatóság - örökségvédelmi szakhatóság hozzájárulásával kiadott - engedélye szükséges.</w:t>
      </w:r>
    </w:p>
    <w:p w:rsidR="0051016B" w:rsidRPr="00FE64AB" w:rsidRDefault="0051016B" w:rsidP="0051016B">
      <w:pPr>
        <w:spacing w:after="0"/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r w:rsidRPr="00FE64AB">
        <w:rPr>
          <w:rFonts w:ascii="Verdana" w:hAnsi="Verdana" w:cs="Verdana"/>
          <w:sz w:val="19"/>
          <w:szCs w:val="19"/>
          <w:shd w:val="clear" w:color="auto" w:fill="FFFFFF"/>
        </w:rPr>
        <w:t>(2) A védetté nyilvánított régészeti lelőhelyen örökségvédelmi engedély szükséges</w:t>
      </w:r>
    </w:p>
    <w:p w:rsidR="0051016B" w:rsidRPr="00FE64AB" w:rsidRDefault="0051016B" w:rsidP="0051016B">
      <w:pPr>
        <w:spacing w:after="120"/>
        <w:ind w:firstLine="360"/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proofErr w:type="gramStart"/>
      <w:r w:rsidRPr="00FE64AB">
        <w:rPr>
          <w:rFonts w:ascii="Verdana" w:hAnsi="Verdana" w:cs="Verdana"/>
          <w:sz w:val="19"/>
          <w:szCs w:val="19"/>
          <w:shd w:val="clear" w:color="auto" w:fill="FFFFFF"/>
        </w:rPr>
        <w:t>a</w:t>
      </w:r>
      <w:proofErr w:type="gramEnd"/>
      <w:r w:rsidRPr="00FE64AB">
        <w:rPr>
          <w:rFonts w:ascii="Verdana" w:hAnsi="Verdana" w:cs="Verdana"/>
          <w:sz w:val="19"/>
          <w:szCs w:val="19"/>
          <w:shd w:val="clear" w:color="auto" w:fill="FFFFFF"/>
        </w:rPr>
        <w:t>) az 50 cm mélységet meghaladó gépi földmunkához, valamint</w:t>
      </w:r>
    </w:p>
    <w:p w:rsidR="0051016B" w:rsidRPr="00FE64AB" w:rsidRDefault="0051016B" w:rsidP="0051016B">
      <w:pPr>
        <w:spacing w:after="120"/>
        <w:ind w:firstLine="360"/>
        <w:jc w:val="both"/>
        <w:rPr>
          <w:rFonts w:ascii="Verdana" w:hAnsi="Verdana" w:cs="Verdana"/>
          <w:sz w:val="19"/>
          <w:szCs w:val="19"/>
          <w:shd w:val="clear" w:color="auto" w:fill="FFFFFF"/>
        </w:rPr>
      </w:pPr>
      <w:r w:rsidRPr="00FE64AB">
        <w:rPr>
          <w:rFonts w:ascii="Verdana" w:hAnsi="Verdana" w:cs="Verdana"/>
          <w:sz w:val="19"/>
          <w:szCs w:val="19"/>
          <w:shd w:val="clear" w:color="auto" w:fill="FFFFFF"/>
        </w:rPr>
        <w:t>b) a régészeti emlékek megóvási, konzerválási munkálataihoz.</w:t>
      </w:r>
    </w:p>
    <w:p w:rsidR="0051016B" w:rsidRDefault="0051016B" w:rsidP="0051016B">
      <w:pPr>
        <w:pStyle w:val="NormlWeb"/>
        <w:shd w:val="clear" w:color="auto" w:fill="FFFFFF"/>
        <w:spacing w:before="0" w:beforeAutospacing="0" w:after="0" w:afterAutospacing="0" w:line="172" w:lineRule="atLeast"/>
        <w:ind w:right="21" w:firstLine="360"/>
        <w:jc w:val="both"/>
        <w:rPr>
          <w:rFonts w:ascii="H_Avant Garde Book BT" w:hAnsi="H_Avant Garde Book BT" w:cs="H_Avant Garde Book BT"/>
          <w:color w:val="222222"/>
        </w:rPr>
      </w:pPr>
    </w:p>
    <w:p w:rsidR="0051016B" w:rsidRDefault="0051016B" w:rsidP="0051016B">
      <w:pPr>
        <w:pStyle w:val="NormlWeb"/>
        <w:shd w:val="clear" w:color="auto" w:fill="FFFFFF"/>
        <w:spacing w:before="0" w:beforeAutospacing="0" w:after="0" w:afterAutospacing="0"/>
        <w:ind w:right="136"/>
        <w:rPr>
          <w:rFonts w:ascii="Verdana" w:hAnsi="Verdana" w:cs="Verdana"/>
          <w:color w:val="222222"/>
          <w:sz w:val="19"/>
          <w:szCs w:val="19"/>
        </w:rPr>
      </w:pPr>
      <w:r>
        <w:rPr>
          <w:rFonts w:ascii="Verdana" w:hAnsi="Verdana" w:cs="Verdana"/>
          <w:b/>
          <w:bCs/>
          <w:color w:val="222222"/>
          <w:sz w:val="19"/>
          <w:szCs w:val="19"/>
        </w:rPr>
        <w:br w:type="page"/>
      </w:r>
      <w:r>
        <w:rPr>
          <w:rFonts w:ascii="Verdana" w:hAnsi="Verdana" w:cs="Verdana"/>
          <w:b/>
          <w:bCs/>
          <w:color w:val="222222"/>
          <w:sz w:val="19"/>
          <w:szCs w:val="19"/>
        </w:rPr>
        <w:lastRenderedPageBreak/>
        <w:t>A</w:t>
      </w:r>
      <w:r w:rsidRPr="00EF6254">
        <w:rPr>
          <w:rFonts w:ascii="Verdana" w:hAnsi="Verdana" w:cs="Verdana"/>
          <w:b/>
          <w:bCs/>
          <w:color w:val="222222"/>
          <w:sz w:val="19"/>
          <w:szCs w:val="19"/>
        </w:rPr>
        <w:t>z építésügyi és építésfelügyeleti hatósági eljárásokról és ellenőrzésekről, valamint az építésügyi hatósági szolgáltatásról</w:t>
      </w:r>
      <w:r>
        <w:rPr>
          <w:rFonts w:ascii="Verdana" w:hAnsi="Verdana" w:cs="Verdana"/>
          <w:b/>
          <w:bCs/>
          <w:color w:val="222222"/>
          <w:sz w:val="19"/>
          <w:szCs w:val="19"/>
        </w:rPr>
        <w:t xml:space="preserve"> szóló </w:t>
      </w:r>
      <w:r w:rsidRPr="00EF6254">
        <w:rPr>
          <w:rFonts w:ascii="Verdana" w:hAnsi="Verdana" w:cs="Verdana"/>
          <w:b/>
          <w:bCs/>
          <w:color w:val="222222"/>
          <w:sz w:val="19"/>
          <w:szCs w:val="19"/>
        </w:rPr>
        <w:t>312/2012. (XI. 8.) Korm. rendelet</w:t>
      </w:r>
      <w:r>
        <w:rPr>
          <w:rFonts w:ascii="Verdana" w:hAnsi="Verdana" w:cs="Verdana"/>
          <w:b/>
          <w:bCs/>
          <w:color w:val="222222"/>
          <w:sz w:val="19"/>
          <w:szCs w:val="19"/>
        </w:rPr>
        <w:t xml:space="preserve"> </w:t>
      </w:r>
      <w:r w:rsidRPr="00CF57D6">
        <w:rPr>
          <w:rFonts w:ascii="Verdana" w:hAnsi="Verdana" w:cs="Verdana"/>
          <w:color w:val="222222"/>
          <w:sz w:val="19"/>
          <w:szCs w:val="19"/>
        </w:rPr>
        <w:t>6. melléklet</w:t>
      </w:r>
      <w:r>
        <w:rPr>
          <w:rFonts w:ascii="Verdana" w:hAnsi="Verdana" w:cs="Verdana"/>
          <w:color w:val="222222"/>
          <w:sz w:val="19"/>
          <w:szCs w:val="19"/>
        </w:rPr>
        <w:t>e rendezi a közreműködő szakhatóságok körét:</w:t>
      </w:r>
    </w:p>
    <w:p w:rsidR="0051016B" w:rsidRPr="00CF57D6" w:rsidRDefault="0051016B" w:rsidP="0051016B">
      <w:pPr>
        <w:pStyle w:val="NormlWeb"/>
        <w:shd w:val="clear" w:color="auto" w:fill="FFFFFF"/>
        <w:spacing w:before="0" w:beforeAutospacing="0" w:after="0" w:afterAutospacing="0"/>
        <w:ind w:right="136"/>
        <w:rPr>
          <w:rFonts w:ascii="Verdana" w:hAnsi="Verdana" w:cs="Verdana"/>
          <w:color w:val="222222"/>
          <w:sz w:val="19"/>
          <w:szCs w:val="19"/>
        </w:rPr>
      </w:pPr>
      <w:r>
        <w:rPr>
          <w:rFonts w:ascii="Verdana" w:hAnsi="Verdana" w:cs="Verdana"/>
          <w:color w:val="222222"/>
          <w:sz w:val="19"/>
          <w:szCs w:val="19"/>
        </w:rPr>
        <w:t xml:space="preserve"> </w:t>
      </w:r>
      <w:r w:rsidRPr="00CF57D6">
        <w:rPr>
          <w:rFonts w:ascii="Verdana" w:hAnsi="Verdana" w:cs="Verdana"/>
          <w:color w:val="222222"/>
          <w:sz w:val="19"/>
          <w:szCs w:val="19"/>
        </w:rPr>
        <w:t xml:space="preserve"> </w:t>
      </w:r>
    </w:p>
    <w:p w:rsidR="0051016B" w:rsidRPr="00EF6254" w:rsidRDefault="0051016B" w:rsidP="0051016B">
      <w:pPr>
        <w:pStyle w:val="NormlWeb"/>
        <w:shd w:val="clear" w:color="auto" w:fill="FFFFFF"/>
        <w:spacing w:before="0" w:beforeAutospacing="0" w:after="0" w:afterAutospacing="0"/>
        <w:ind w:left="136" w:right="136"/>
        <w:jc w:val="center"/>
        <w:rPr>
          <w:rFonts w:ascii="Verdana" w:hAnsi="Verdana" w:cs="Verdana"/>
          <w:color w:val="222222"/>
          <w:sz w:val="19"/>
          <w:szCs w:val="19"/>
        </w:rPr>
      </w:pPr>
      <w:r w:rsidRPr="00EF6254">
        <w:rPr>
          <w:rFonts w:ascii="Verdana" w:hAnsi="Verdana" w:cs="Verdana"/>
          <w:color w:val="222222"/>
          <w:sz w:val="19"/>
          <w:szCs w:val="19"/>
        </w:rPr>
        <w:t>Az egyes építésügyi hatóság engedélyezési eljárásában közreműködő szakhatóságok</w:t>
      </w:r>
    </w:p>
    <w:p w:rsidR="0051016B" w:rsidRPr="00EF6254" w:rsidRDefault="0051016B" w:rsidP="0051016B">
      <w:pPr>
        <w:rPr>
          <w:rFonts w:ascii="Verdana" w:hAnsi="Verdana" w:cs="Verdana"/>
          <w:sz w:val="19"/>
          <w:szCs w:val="19"/>
        </w:rPr>
      </w:pPr>
    </w:p>
    <w:tbl>
      <w:tblPr>
        <w:tblW w:w="10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195"/>
        <w:gridCol w:w="1952"/>
        <w:gridCol w:w="2050"/>
        <w:gridCol w:w="2195"/>
        <w:gridCol w:w="2177"/>
      </w:tblGrid>
      <w:tr w:rsidR="0051016B" w:rsidRPr="00EF6254" w:rsidTr="00994B72">
        <w:tc>
          <w:tcPr>
            <w:tcW w:w="648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sz w:val="19"/>
                <w:szCs w:val="19"/>
              </w:rPr>
              <w:t>1.</w:t>
            </w:r>
          </w:p>
        </w:tc>
        <w:tc>
          <w:tcPr>
            <w:tcW w:w="2001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t>Bevonás és közreműködés feltétele</w:t>
            </w:r>
          </w:p>
        </w:tc>
        <w:tc>
          <w:tcPr>
            <w:tcW w:w="1782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t>Szakkérdés</w:t>
            </w:r>
          </w:p>
        </w:tc>
        <w:tc>
          <w:tcPr>
            <w:tcW w:w="1871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t>Hatósági eljárás</w:t>
            </w:r>
          </w:p>
        </w:tc>
        <w:tc>
          <w:tcPr>
            <w:tcW w:w="2001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t>Első fokon eljáró hatóság</w:t>
            </w:r>
          </w:p>
        </w:tc>
        <w:tc>
          <w:tcPr>
            <w:tcW w:w="1985" w:type="dxa"/>
          </w:tcPr>
          <w:p w:rsidR="0051016B" w:rsidRPr="00EF6254" w:rsidRDefault="0051016B" w:rsidP="00994B72">
            <w:pPr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t>Másodfokon eljáró hatóság</w:t>
            </w:r>
          </w:p>
        </w:tc>
      </w:tr>
      <w:tr w:rsidR="0051016B" w:rsidRPr="00EF6254" w:rsidTr="00994B72">
        <w:tc>
          <w:tcPr>
            <w:tcW w:w="648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sz w:val="19"/>
                <w:szCs w:val="19"/>
              </w:rPr>
              <w:t>34.</w:t>
            </w:r>
          </w:p>
        </w:tc>
        <w:tc>
          <w:tcPr>
            <w:tcW w:w="2001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A kormányrendeletben meghatározott járási (fővárosi kerületi) hivatal építésügyi és örökségvédelmi hivatala, illetve a fővárosi és megyei kormányhivatal építésügyi és örökségvédelmi hivatala hatáskörébe tartozó ügyek kivételével a hatósági nyilvántartásban szereplő régészeti lelőhelyen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- új épület építése,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- a meglévő épület terepszint alatti vagy terepszintet is érintő bővítése, bontása esetén.</w:t>
            </w:r>
          </w:p>
        </w:tc>
        <w:tc>
          <w:tcPr>
            <w:tcW w:w="1782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Annak elbírálása kérdésében, hogy az építési, bontási tevékenység a régészeti örökség védelme jogszabályban rögzített követelményeinek a kérelemben foglaltak szerint vagy további feltételek mellett megfelel-e.</w:t>
            </w:r>
          </w:p>
        </w:tc>
        <w:tc>
          <w:tcPr>
            <w:tcW w:w="1871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a)</w:t>
            </w:r>
            <w:r w:rsidRPr="00EF6254">
              <w:rPr>
                <w:rStyle w:val="apple-converted-space"/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építési,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b)</w:t>
            </w:r>
            <w:r w:rsidRPr="00EF6254">
              <w:rPr>
                <w:rStyle w:val="apple-converted-space"/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bontási,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c)</w:t>
            </w:r>
            <w:r w:rsidRPr="00EF6254">
              <w:rPr>
                <w:rStyle w:val="apple-converted-space"/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összevont (elvi építési keretengedélyezési szakaszában),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d)</w:t>
            </w:r>
            <w:r w:rsidRPr="00EF6254">
              <w:rPr>
                <w:rStyle w:val="apple-converted-space"/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az engedély hatályának meghosszabbítási,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e)</w:t>
            </w:r>
            <w:r w:rsidRPr="00EF6254">
              <w:rPr>
                <w:rStyle w:val="apple-converted-space"/>
                <w:rFonts w:ascii="Verdana" w:hAnsi="Verdana" w:cs="Verdana"/>
                <w:i/>
                <w:iCs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fennmaradási</w:t>
            </w:r>
            <w:r w:rsidRPr="00EF6254">
              <w:rPr>
                <w:rStyle w:val="apple-converted-space"/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</w:rPr>
              <w:br/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engedélyezési eljárás</w:t>
            </w:r>
          </w:p>
        </w:tc>
        <w:tc>
          <w:tcPr>
            <w:tcW w:w="2001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kormányrendeletben meghatározott járási (fővárosi kerületi) hivatal építésügyi és örökségvédelmi hivatala</w:t>
            </w:r>
          </w:p>
        </w:tc>
        <w:tc>
          <w:tcPr>
            <w:tcW w:w="1985" w:type="dxa"/>
          </w:tcPr>
          <w:p w:rsidR="0051016B" w:rsidRPr="00EF6254" w:rsidRDefault="0051016B" w:rsidP="00994B72">
            <w:pPr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Budapest Főváros Kormányhivatalának Építésügyi és Örökségvédelmi Hivatala</w:t>
            </w:r>
            <w:r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Pr="00EF6254">
              <w:rPr>
                <w:rFonts w:ascii="Verdana" w:hAnsi="Verdana" w:cs="Verdana"/>
                <w:color w:val="222222"/>
                <w:sz w:val="19"/>
                <w:szCs w:val="19"/>
                <w:shd w:val="clear" w:color="auto" w:fill="FFFFFF"/>
              </w:rPr>
              <w:t>Budapest Főváros Kormányhivatalának Építésügyi és Örökségvédelmi Hivatala</w:t>
            </w:r>
          </w:p>
        </w:tc>
      </w:tr>
    </w:tbl>
    <w:p w:rsidR="00D07554" w:rsidRDefault="00D07554"/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_Avant Garde Boo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B"/>
    <w:rsid w:val="0051016B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5EA03-FAA6-42FE-BB54-9450294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016B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1016B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5101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2020-07-15T09:12:00Z</dcterms:created>
  <dcterms:modified xsi:type="dcterms:W3CDTF">2020-07-15T09:14:00Z</dcterms:modified>
</cp:coreProperties>
</file>