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4C2" w:rsidRDefault="005574C2" w:rsidP="005574C2">
      <w:pPr>
        <w:pStyle w:val="Standard"/>
        <w:ind w:left="851" w:right="140" w:hanging="851"/>
        <w:jc w:val="center"/>
        <w:rPr>
          <w:b/>
        </w:rPr>
      </w:pPr>
      <w:r>
        <w:rPr>
          <w:b/>
        </w:rPr>
        <w:t>Indokolás</w:t>
      </w:r>
    </w:p>
    <w:p w:rsidR="005574C2" w:rsidRDefault="005574C2" w:rsidP="005574C2">
      <w:pPr>
        <w:pStyle w:val="Standard"/>
        <w:ind w:left="851" w:right="140" w:hanging="851"/>
        <w:jc w:val="center"/>
        <w:rPr>
          <w:b/>
        </w:rPr>
      </w:pPr>
      <w:r>
        <w:rPr>
          <w:b/>
        </w:rPr>
        <w:t>a</w:t>
      </w:r>
    </w:p>
    <w:p w:rsidR="005574C2" w:rsidRDefault="005574C2" w:rsidP="005574C2">
      <w:pPr>
        <w:pStyle w:val="Standard"/>
        <w:ind w:left="851" w:right="140" w:hanging="851"/>
        <w:jc w:val="center"/>
        <w:rPr>
          <w:b/>
        </w:rPr>
      </w:pPr>
      <w:r>
        <w:rPr>
          <w:b/>
        </w:rPr>
        <w:t>6/2019. (III.28.) önkormányzati rendelethez</w:t>
      </w:r>
    </w:p>
    <w:p w:rsidR="005574C2" w:rsidRDefault="005574C2" w:rsidP="005574C2">
      <w:pPr>
        <w:pStyle w:val="Standard"/>
        <w:ind w:left="851" w:right="140" w:hanging="851"/>
        <w:rPr>
          <w:b/>
        </w:rPr>
      </w:pPr>
    </w:p>
    <w:p w:rsidR="005574C2" w:rsidRDefault="005574C2" w:rsidP="005574C2">
      <w:pPr>
        <w:pStyle w:val="Standard"/>
        <w:ind w:left="851" w:right="140" w:hanging="851"/>
        <w:rPr>
          <w:b/>
        </w:rPr>
      </w:pPr>
    </w:p>
    <w:p w:rsidR="005574C2" w:rsidRDefault="005574C2" w:rsidP="005574C2">
      <w:pPr>
        <w:pStyle w:val="Standard"/>
        <w:ind w:right="113"/>
        <w:rPr>
          <w:b/>
        </w:rPr>
      </w:pPr>
      <w:r>
        <w:rPr>
          <w:b/>
        </w:rPr>
        <w:t>1. §-hoz</w:t>
      </w:r>
    </w:p>
    <w:p w:rsidR="005574C2" w:rsidRDefault="005574C2" w:rsidP="005574C2">
      <w:pPr>
        <w:pStyle w:val="Standard"/>
        <w:ind w:left="993" w:right="113" w:hanging="369"/>
      </w:pPr>
      <w:r>
        <w:t>(1) A rendelkezés az „Új központ” elnevezés területi lehatárolását mondja ki.</w:t>
      </w:r>
    </w:p>
    <w:p w:rsidR="005574C2" w:rsidRDefault="005574C2" w:rsidP="005574C2">
      <w:pPr>
        <w:pStyle w:val="Standard"/>
        <w:ind w:left="624" w:right="113"/>
      </w:pPr>
      <w:r>
        <w:t>(2) A rendelkezés a Vt-HF-3 és a Vk-HF-4 övezetek összekötését biztosító kapcsolat helyét jelöli ki.</w:t>
      </w:r>
    </w:p>
    <w:p w:rsidR="005574C2" w:rsidRDefault="005574C2" w:rsidP="005574C2">
      <w:pPr>
        <w:pStyle w:val="Standard"/>
        <w:ind w:left="624" w:right="113"/>
      </w:pPr>
      <w:r>
        <w:t>(3) A rendelkezés a Vk-HF-3 övezetre vonatkozó előírásokat tartalmazza.</w:t>
      </w:r>
    </w:p>
    <w:p w:rsidR="005574C2" w:rsidRDefault="005574C2" w:rsidP="005574C2">
      <w:pPr>
        <w:pStyle w:val="Standard"/>
        <w:ind w:left="624" w:right="113"/>
      </w:pPr>
      <w:r>
        <w:t>(4) A rendelkezés a Gksz-TO/3 övezetre vonatkozó előírásokat tartalmazza.</w:t>
      </w:r>
    </w:p>
    <w:p w:rsidR="005574C2" w:rsidRDefault="005574C2" w:rsidP="005574C2">
      <w:pPr>
        <w:pStyle w:val="Standard"/>
        <w:ind w:left="624" w:right="113"/>
      </w:pPr>
    </w:p>
    <w:p w:rsidR="005574C2" w:rsidRDefault="005574C2" w:rsidP="005574C2">
      <w:pPr>
        <w:pStyle w:val="Standard"/>
        <w:ind w:right="113"/>
      </w:pPr>
      <w:r>
        <w:rPr>
          <w:b/>
        </w:rPr>
        <w:t>2. §-hoz</w:t>
      </w:r>
      <w:r>
        <w:t xml:space="preserve"> (1)-(3) A rendelkezések a meghatározott övezetek építési paramétereit állapítja meg.</w:t>
      </w:r>
    </w:p>
    <w:p w:rsidR="005574C2" w:rsidRDefault="005574C2" w:rsidP="005574C2">
      <w:pPr>
        <w:pStyle w:val="Standard"/>
        <w:ind w:left="624" w:right="113"/>
      </w:pPr>
    </w:p>
    <w:p w:rsidR="005574C2" w:rsidRDefault="005574C2" w:rsidP="005574C2">
      <w:pPr>
        <w:pStyle w:val="Standard"/>
        <w:ind w:right="113"/>
        <w:rPr>
          <w:b/>
        </w:rPr>
      </w:pPr>
      <w:r>
        <w:rPr>
          <w:b/>
        </w:rPr>
        <w:t>3. §-hoz</w:t>
      </w:r>
    </w:p>
    <w:p w:rsidR="005574C2" w:rsidRDefault="005574C2" w:rsidP="005574C2">
      <w:pPr>
        <w:pStyle w:val="Standard"/>
        <w:ind w:left="624" w:right="113"/>
      </w:pPr>
      <w:r>
        <w:t>A rendelkezés beilleszti az tervezési területre vonatkozó módosított szabályozási tervszelvényeket a Rendelet 4. mellékletébe.</w:t>
      </w:r>
    </w:p>
    <w:p w:rsidR="005574C2" w:rsidRDefault="005574C2" w:rsidP="005574C2">
      <w:pPr>
        <w:pStyle w:val="Standard"/>
        <w:ind w:right="113"/>
        <w:rPr>
          <w:b/>
        </w:rPr>
      </w:pPr>
    </w:p>
    <w:p w:rsidR="005574C2" w:rsidRDefault="005574C2" w:rsidP="005574C2">
      <w:pPr>
        <w:pStyle w:val="Standard"/>
        <w:ind w:right="113"/>
        <w:rPr>
          <w:b/>
        </w:rPr>
      </w:pPr>
      <w:r>
        <w:rPr>
          <w:b/>
        </w:rPr>
        <w:t>4. §-hoz</w:t>
      </w:r>
    </w:p>
    <w:p w:rsidR="005574C2" w:rsidRDefault="005574C2" w:rsidP="005574C2">
      <w:pPr>
        <w:pStyle w:val="Standard"/>
        <w:ind w:right="113"/>
      </w:pPr>
      <w:r>
        <w:tab/>
        <w:t>A Rendelet egyes elemeit hatályon kívül helyezi.</w:t>
      </w:r>
    </w:p>
    <w:p w:rsidR="005574C2" w:rsidRDefault="005574C2" w:rsidP="005574C2">
      <w:pPr>
        <w:pStyle w:val="Standard"/>
        <w:ind w:left="624" w:right="113"/>
      </w:pPr>
    </w:p>
    <w:p w:rsidR="005574C2" w:rsidRDefault="005574C2" w:rsidP="005574C2">
      <w:pPr>
        <w:pStyle w:val="Standard"/>
        <w:ind w:right="113"/>
        <w:rPr>
          <w:b/>
        </w:rPr>
      </w:pPr>
      <w:r>
        <w:rPr>
          <w:b/>
        </w:rPr>
        <w:t>5. §-hoz</w:t>
      </w:r>
    </w:p>
    <w:p w:rsidR="005574C2" w:rsidRDefault="005574C2" w:rsidP="005574C2">
      <w:pPr>
        <w:pStyle w:val="Standard"/>
        <w:ind w:right="113"/>
      </w:pPr>
      <w:r>
        <w:tab/>
        <w:t>A hatálybalépésről rendelkezik.</w:t>
      </w:r>
    </w:p>
    <w:p w:rsidR="005574C2" w:rsidRDefault="005574C2" w:rsidP="005574C2">
      <w:pPr>
        <w:pStyle w:val="Standard"/>
        <w:tabs>
          <w:tab w:val="right" w:pos="8505"/>
        </w:tabs>
        <w:jc w:val="center"/>
      </w:pPr>
    </w:p>
    <w:p w:rsidR="000930A9" w:rsidRDefault="000930A9">
      <w:bookmarkStart w:id="0" w:name="_GoBack"/>
      <w:bookmarkEnd w:id="0"/>
    </w:p>
    <w:sectPr w:rsidR="000930A9" w:rsidSect="005574C2">
      <w:pgSz w:w="11906" w:h="16838"/>
      <w:pgMar w:top="567" w:right="1134" w:bottom="567" w:left="1134" w:header="708" w:footer="708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C2"/>
    <w:rsid w:val="000930A9"/>
    <w:rsid w:val="0055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BEFAA-18B8-4866-B6F8-EA18B84F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5574C2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2019-03-28T13:56:00Z</dcterms:created>
  <dcterms:modified xsi:type="dcterms:W3CDTF">2019-03-28T13:57:00Z</dcterms:modified>
</cp:coreProperties>
</file>