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77" w:rsidRDefault="00941F77" w:rsidP="00941F77">
      <w:pPr>
        <w:pStyle w:val="Csakszveg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 a 8/2018. (XI.14.) önkormányzati rendelethez</w:t>
      </w:r>
    </w:p>
    <w:p w:rsidR="00941F77" w:rsidRPr="00B0026A" w:rsidRDefault="00941F77" w:rsidP="00941F7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941F77" w:rsidRPr="00B82833" w:rsidRDefault="00941F77" w:rsidP="00941F77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Az önkormányzat alaptevékenysége kormányzati funkciók szerint</w:t>
      </w:r>
    </w:p>
    <w:p w:rsidR="00941F77" w:rsidRPr="00B82833" w:rsidRDefault="00941F77" w:rsidP="00941F77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011130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Önkormányzatok és önkormányzati hivatalok jogalkotói és általános igazgatási tevékenysége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011140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és helyi nemzetiségi önkormányzatok igazgatási tevékenysége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013320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Köztemető-fenntartás és –működtetés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013350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Önkormányzati vagyonnal való gazdálkodással kapcsolatos feladatok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018010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Önkormányzatok elszámolásai a központi költségvetéssel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018030</w:t>
      </w:r>
      <w:r w:rsidRPr="00DC60E1">
        <w:rPr>
          <w:rFonts w:ascii="Times New Roman" w:hAnsi="Times New Roman" w:cs="Times New Roman"/>
          <w:sz w:val="22"/>
          <w:szCs w:val="22"/>
        </w:rPr>
        <w:tab/>
        <w:t>Támogatási célú finanszírozási műveletek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031030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Közterület rendjének fenntartása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041231</w:t>
      </w:r>
      <w:r w:rsidRPr="00DC60E1">
        <w:rPr>
          <w:rFonts w:ascii="Times New Roman" w:hAnsi="Times New Roman" w:cs="Times New Roman"/>
          <w:sz w:val="22"/>
          <w:szCs w:val="22"/>
        </w:rPr>
        <w:tab/>
        <w:t>Rövid időtartamú közfoglalkoztatás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Start-munkaprogram-Téli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közfoglalkoztatás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041233</w:t>
      </w:r>
      <w:r w:rsidRPr="00DC60E1">
        <w:rPr>
          <w:rFonts w:ascii="Times New Roman" w:hAnsi="Times New Roman" w:cs="Times New Roman"/>
          <w:sz w:val="22"/>
          <w:szCs w:val="22"/>
        </w:rPr>
        <w:tab/>
        <w:t>Hosszabb időtartamú közfoglalkoztatás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041236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közfoglalkoztatási program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041237</w:t>
      </w:r>
      <w:r w:rsidRPr="00DC60E1">
        <w:rPr>
          <w:rFonts w:ascii="Times New Roman" w:hAnsi="Times New Roman" w:cs="Times New Roman"/>
          <w:sz w:val="22"/>
          <w:szCs w:val="22"/>
        </w:rPr>
        <w:tab/>
        <w:t>Közfoglalkoztatási mintaprogram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045160</w:t>
      </w:r>
      <w:r w:rsidRPr="00DC60E1">
        <w:rPr>
          <w:rFonts w:ascii="Times New Roman" w:hAnsi="Times New Roman" w:cs="Times New Roman"/>
          <w:sz w:val="22"/>
          <w:szCs w:val="22"/>
        </w:rPr>
        <w:tab/>
        <w:t>Közutak, hidak, alagutak üzemeltetése, fenntartása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045220</w:t>
      </w:r>
      <w:r w:rsidRPr="00DC60E1">
        <w:rPr>
          <w:rFonts w:ascii="Times New Roman" w:hAnsi="Times New Roman" w:cs="Times New Roman"/>
          <w:sz w:val="22"/>
          <w:szCs w:val="22"/>
        </w:rPr>
        <w:tab/>
        <w:t>Vízi létesítmény építése (kivéve: árvízvédelmi létesítmények)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047410</w:t>
      </w:r>
      <w:r w:rsidRPr="00DC60E1">
        <w:rPr>
          <w:rFonts w:ascii="Times New Roman" w:hAnsi="Times New Roman" w:cs="Times New Roman"/>
          <w:sz w:val="22"/>
          <w:szCs w:val="22"/>
        </w:rPr>
        <w:tab/>
        <w:t>Ár- és belvízvédelemmel összefüggő tevékenységek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051030</w:t>
      </w:r>
      <w:r w:rsidRPr="00DC60E1">
        <w:rPr>
          <w:rFonts w:ascii="Times New Roman" w:hAnsi="Times New Roman" w:cs="Times New Roman"/>
          <w:sz w:val="22"/>
          <w:szCs w:val="22"/>
        </w:rPr>
        <w:tab/>
        <w:t>Nem veszélyes (települési) hulladék vegyes (ömlesztett) begyűjtése, szállítása, átrakása</w:t>
      </w:r>
    </w:p>
    <w:p w:rsidR="00941F77" w:rsidRPr="00DC60E1" w:rsidRDefault="00941F77" w:rsidP="00941F77">
      <w:pPr>
        <w:pStyle w:val="Csakszveg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063020</w:t>
      </w:r>
      <w:r w:rsidRPr="00DC60E1">
        <w:rPr>
          <w:rFonts w:ascii="Times New Roman" w:hAnsi="Times New Roman" w:cs="Times New Roman"/>
          <w:sz w:val="22"/>
          <w:szCs w:val="22"/>
        </w:rPr>
        <w:tab/>
        <w:t xml:space="preserve">Víztermelés,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-kezelés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-ellátás</w:t>
      </w:r>
      <w:proofErr w:type="spellEnd"/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064010</w:t>
      </w:r>
      <w:r w:rsidRPr="00DC60E1">
        <w:rPr>
          <w:rFonts w:ascii="Times New Roman" w:hAnsi="Times New Roman" w:cs="Times New Roman"/>
          <w:sz w:val="22"/>
          <w:szCs w:val="22"/>
        </w:rPr>
        <w:tab/>
        <w:t>Közvilágítás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066010</w:t>
      </w:r>
      <w:r w:rsidRPr="00DC60E1">
        <w:rPr>
          <w:rFonts w:ascii="Times New Roman" w:hAnsi="Times New Roman" w:cs="Times New Roman"/>
          <w:sz w:val="22"/>
          <w:szCs w:val="22"/>
        </w:rPr>
        <w:tab/>
        <w:t>Zöldterület-kezelés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066020</w:t>
      </w:r>
      <w:r w:rsidRPr="00DC60E1">
        <w:rPr>
          <w:rFonts w:ascii="Times New Roman" w:hAnsi="Times New Roman" w:cs="Times New Roman"/>
          <w:sz w:val="22"/>
          <w:szCs w:val="22"/>
        </w:rPr>
        <w:tab/>
        <w:t>Város-, községgazdálkodási egyéb szolgáltatások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072111 </w:t>
      </w:r>
      <w:r w:rsidRPr="00DC60E1">
        <w:rPr>
          <w:rFonts w:ascii="Times New Roman" w:hAnsi="Times New Roman" w:cs="Times New Roman"/>
          <w:sz w:val="22"/>
          <w:szCs w:val="22"/>
        </w:rPr>
        <w:tab/>
        <w:t>Háziorvosi alapellátás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074031</w:t>
      </w:r>
      <w:r w:rsidRPr="00DC60E1">
        <w:rPr>
          <w:rFonts w:ascii="Times New Roman" w:hAnsi="Times New Roman" w:cs="Times New Roman"/>
          <w:sz w:val="22"/>
          <w:szCs w:val="22"/>
        </w:rPr>
        <w:tab/>
        <w:t>Család és nővédelmi egészségügyi gondozás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C60E1">
        <w:rPr>
          <w:rFonts w:ascii="Times New Roman" w:hAnsi="Times New Roman" w:cs="Times New Roman"/>
          <w:sz w:val="22"/>
          <w:szCs w:val="22"/>
        </w:rPr>
        <w:t>Ifjúság-egészségügyi gondozás</w:t>
      </w:r>
      <w:proofErr w:type="gramEnd"/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081030</w:t>
      </w:r>
      <w:r w:rsidRPr="00DC60E1">
        <w:rPr>
          <w:rFonts w:ascii="Times New Roman" w:hAnsi="Times New Roman" w:cs="Times New Roman"/>
          <w:sz w:val="22"/>
          <w:szCs w:val="22"/>
        </w:rPr>
        <w:tab/>
        <w:t>Sportlétesítmények, edzőtáborok működtetése és fejlesztése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082042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állomány gyarapítása, nyilvántartása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082044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szolgáltatások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082092</w:t>
      </w:r>
      <w:r w:rsidRPr="00DC60E1">
        <w:rPr>
          <w:rFonts w:ascii="Times New Roman" w:hAnsi="Times New Roman" w:cs="Times New Roman"/>
          <w:sz w:val="22"/>
          <w:szCs w:val="22"/>
        </w:rPr>
        <w:tab/>
        <w:t>Közművelődés-hagyományos közösségi kulturális értékek gondozása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084031</w:t>
      </w:r>
      <w:r w:rsidRPr="00DC60E1">
        <w:rPr>
          <w:rFonts w:ascii="Times New Roman" w:hAnsi="Times New Roman" w:cs="Times New Roman"/>
          <w:sz w:val="22"/>
          <w:szCs w:val="22"/>
        </w:rPr>
        <w:tab/>
        <w:t>Civil szervezetek működési támogatása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091110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szakmai feladatai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091140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működtetési feladatai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096015</w:t>
      </w:r>
      <w:r w:rsidRPr="00DC60E1">
        <w:rPr>
          <w:rFonts w:ascii="Times New Roman" w:hAnsi="Times New Roman" w:cs="Times New Roman"/>
          <w:sz w:val="22"/>
          <w:szCs w:val="22"/>
        </w:rPr>
        <w:tab/>
        <w:t>Gyermekétkeztetés köznevelési intézményben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096025</w:t>
      </w:r>
      <w:r w:rsidRPr="00DC60E1">
        <w:rPr>
          <w:rFonts w:ascii="Times New Roman" w:hAnsi="Times New Roman" w:cs="Times New Roman"/>
          <w:sz w:val="22"/>
          <w:szCs w:val="22"/>
        </w:rPr>
        <w:tab/>
        <w:t>Munkahelyi étkeztetés köznevelési intézményben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101150</w:t>
      </w:r>
      <w:r w:rsidRPr="00DC60E1">
        <w:rPr>
          <w:rFonts w:ascii="Times New Roman" w:hAnsi="Times New Roman" w:cs="Times New Roman"/>
          <w:sz w:val="22"/>
          <w:szCs w:val="22"/>
        </w:rPr>
        <w:tab/>
        <w:t>Betegséggel kapcsolatos pénzbeli ellátások, támogatások</w:t>
      </w:r>
    </w:p>
    <w:p w:rsidR="00941F77" w:rsidRPr="00DC60E1" w:rsidRDefault="00941F77" w:rsidP="00941F77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102031</w:t>
      </w:r>
      <w:r w:rsidRPr="00DC60E1">
        <w:rPr>
          <w:rFonts w:ascii="Times New Roman" w:hAnsi="Times New Roman" w:cs="Times New Roman"/>
          <w:sz w:val="22"/>
          <w:szCs w:val="22"/>
        </w:rPr>
        <w:tab/>
        <w:t>Idősek nappali ellátása</w:t>
      </w:r>
    </w:p>
    <w:p w:rsidR="00941F77" w:rsidRPr="00DC60E1" w:rsidRDefault="00941F77" w:rsidP="00941F77">
      <w:pPr>
        <w:pStyle w:val="Csakszveg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Demens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betegek nappali ellátása</w:t>
      </w:r>
    </w:p>
    <w:p w:rsidR="00941F77" w:rsidRPr="00DC60E1" w:rsidRDefault="00941F77" w:rsidP="00941F77">
      <w:pPr>
        <w:pStyle w:val="Csakszveg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102050</w:t>
      </w:r>
      <w:r w:rsidRPr="00DC60E1">
        <w:rPr>
          <w:rFonts w:ascii="Times New Roman" w:hAnsi="Times New Roman" w:cs="Times New Roman"/>
          <w:sz w:val="22"/>
          <w:szCs w:val="22"/>
        </w:rPr>
        <w:tab/>
        <w:t>Az időskorúak társadalmi integrációját célzó programok</w:t>
      </w:r>
    </w:p>
    <w:p w:rsidR="00941F77" w:rsidRPr="00DC60E1" w:rsidRDefault="00941F77" w:rsidP="00941F77">
      <w:pPr>
        <w:pStyle w:val="Csakszveg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103010</w:t>
      </w:r>
      <w:r w:rsidRPr="00DC60E1">
        <w:rPr>
          <w:rFonts w:ascii="Times New Roman" w:hAnsi="Times New Roman" w:cs="Times New Roman"/>
          <w:sz w:val="22"/>
          <w:szCs w:val="22"/>
        </w:rPr>
        <w:tab/>
        <w:t xml:space="preserve">Elhunyt személyek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hátramaradottainak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pénzbeli ellátása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104037 </w:t>
      </w:r>
      <w:r w:rsidRPr="00DC60E1">
        <w:rPr>
          <w:rFonts w:ascii="Times New Roman" w:hAnsi="Times New Roman" w:cs="Times New Roman"/>
          <w:sz w:val="22"/>
          <w:szCs w:val="22"/>
        </w:rPr>
        <w:tab/>
        <w:t>Intézményen kívüli gyermekétkezetés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104051</w:t>
      </w:r>
      <w:r w:rsidRPr="00DC60E1">
        <w:rPr>
          <w:rFonts w:ascii="Times New Roman" w:hAnsi="Times New Roman" w:cs="Times New Roman"/>
          <w:sz w:val="22"/>
          <w:szCs w:val="22"/>
        </w:rPr>
        <w:tab/>
        <w:t>Gyermekvédelmi pénzbeli és természetbeni ellátások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106020</w:t>
      </w:r>
      <w:r w:rsidRPr="00DC60E1">
        <w:rPr>
          <w:rFonts w:ascii="Times New Roman" w:hAnsi="Times New Roman" w:cs="Times New Roman"/>
          <w:sz w:val="22"/>
          <w:szCs w:val="22"/>
        </w:rPr>
        <w:tab/>
        <w:t>Lakásfenntartással, lakhatással összefüggő ellátások</w:t>
      </w:r>
    </w:p>
    <w:p w:rsidR="00941F77" w:rsidRPr="00DC60E1" w:rsidRDefault="00941F77" w:rsidP="00941F77">
      <w:pPr>
        <w:pStyle w:val="Csakszveg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107051</w:t>
      </w:r>
      <w:r w:rsidRPr="00DC60E1">
        <w:rPr>
          <w:rFonts w:ascii="Times New Roman" w:hAnsi="Times New Roman" w:cs="Times New Roman"/>
          <w:sz w:val="22"/>
          <w:szCs w:val="22"/>
        </w:rPr>
        <w:tab/>
        <w:t>Szociális étkeztetés</w:t>
      </w:r>
    </w:p>
    <w:p w:rsidR="00941F77" w:rsidRPr="00DC60E1" w:rsidRDefault="00941F77" w:rsidP="00941F77">
      <w:pPr>
        <w:ind w:firstLine="360"/>
        <w:rPr>
          <w:sz w:val="22"/>
          <w:szCs w:val="22"/>
        </w:rPr>
      </w:pPr>
      <w:r w:rsidRPr="00DC60E1">
        <w:rPr>
          <w:sz w:val="22"/>
          <w:szCs w:val="22"/>
        </w:rPr>
        <w:t>107052</w:t>
      </w:r>
      <w:r w:rsidRPr="00DC60E1">
        <w:rPr>
          <w:sz w:val="22"/>
          <w:szCs w:val="22"/>
        </w:rPr>
        <w:tab/>
        <w:t>Házi segítségnyújtás</w:t>
      </w:r>
    </w:p>
    <w:p w:rsidR="00941F77" w:rsidRPr="00DC60E1" w:rsidRDefault="00941F77" w:rsidP="00941F77">
      <w:pPr>
        <w:ind w:firstLine="360"/>
        <w:rPr>
          <w:sz w:val="22"/>
          <w:szCs w:val="22"/>
        </w:rPr>
      </w:pPr>
      <w:r w:rsidRPr="00DC60E1">
        <w:rPr>
          <w:sz w:val="22"/>
          <w:szCs w:val="22"/>
        </w:rPr>
        <w:t>107060</w:t>
      </w:r>
      <w:r w:rsidRPr="00DC60E1">
        <w:rPr>
          <w:sz w:val="22"/>
          <w:szCs w:val="22"/>
        </w:rPr>
        <w:tab/>
        <w:t>Egyéb szociális pénzbeli és természetbeni ellátások, támogatások</w:t>
      </w:r>
    </w:p>
    <w:p w:rsidR="00941F77" w:rsidRPr="00DC60E1" w:rsidRDefault="00941F77" w:rsidP="00941F77">
      <w:pPr>
        <w:ind w:firstLine="360"/>
        <w:rPr>
          <w:sz w:val="22"/>
          <w:szCs w:val="22"/>
        </w:rPr>
      </w:pPr>
      <w:r w:rsidRPr="00DC60E1">
        <w:rPr>
          <w:sz w:val="22"/>
          <w:szCs w:val="22"/>
        </w:rPr>
        <w:t>900020</w:t>
      </w:r>
      <w:r w:rsidRPr="00DC60E1">
        <w:rPr>
          <w:sz w:val="22"/>
          <w:szCs w:val="22"/>
        </w:rPr>
        <w:tab/>
        <w:t>Önkormányzatok funkcióra nem sorolható bevételei államháztartáson kívülről</w:t>
      </w:r>
    </w:p>
    <w:p w:rsidR="00437A0D" w:rsidRDefault="00437A0D"/>
    <w:sectPr w:rsidR="00437A0D" w:rsidSect="004D3BCA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9A0" w:rsidRDefault="00941F77" w:rsidP="006132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79A0" w:rsidRDefault="00941F77" w:rsidP="0061327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9A0" w:rsidRDefault="00941F77" w:rsidP="006132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079A0" w:rsidRDefault="00941F77" w:rsidP="0061327D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454B"/>
    <w:multiLevelType w:val="hybridMultilevel"/>
    <w:tmpl w:val="B43005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41F77"/>
    <w:rsid w:val="00437A0D"/>
    <w:rsid w:val="00941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41F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41F7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941F77"/>
    <w:rPr>
      <w:rFonts w:cs="Times New Roman"/>
    </w:rPr>
  </w:style>
  <w:style w:type="paragraph" w:styleId="Csakszveg">
    <w:name w:val="Plain Text"/>
    <w:basedOn w:val="Norml"/>
    <w:link w:val="CsakszvegChar"/>
    <w:uiPriority w:val="99"/>
    <w:rsid w:val="00941F7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941F77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2018-11-20T07:35:00Z</dcterms:created>
  <dcterms:modified xsi:type="dcterms:W3CDTF">2018-11-20T07:35:00Z</dcterms:modified>
</cp:coreProperties>
</file>