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556" w:rsidRDefault="00F82556" w:rsidP="00F82556">
      <w:pPr>
        <w:pStyle w:val="Cmsor"/>
        <w:spacing w:line="360" w:lineRule="auto"/>
        <w:jc w:val="right"/>
        <w:rPr>
          <w:b/>
        </w:rPr>
      </w:pPr>
      <w:r>
        <w:rPr>
          <w:sz w:val="24"/>
        </w:rPr>
        <w:t>2. sz. melléklet</w:t>
      </w:r>
      <w:r>
        <w:rPr>
          <w:rStyle w:val="Lbjegyzet-karakterek"/>
          <w:sz w:val="24"/>
        </w:rPr>
        <w:footnoteReference w:id="1"/>
      </w:r>
    </w:p>
    <w:p w:rsidR="00F82556" w:rsidRDefault="00F82556" w:rsidP="00F82556">
      <w:pPr>
        <w:jc w:val="center"/>
        <w:rPr>
          <w:b/>
        </w:rPr>
      </w:pPr>
    </w:p>
    <w:p w:rsidR="00F82556" w:rsidRDefault="00F82556" w:rsidP="00F82556">
      <w:pPr>
        <w:jc w:val="center"/>
        <w:rPr>
          <w:sz w:val="32"/>
        </w:rPr>
      </w:pPr>
      <w:r>
        <w:rPr>
          <w:sz w:val="32"/>
        </w:rPr>
        <w:t>A kitüntetések alapításáról és adományozásuk rendjéről szóló</w:t>
      </w:r>
    </w:p>
    <w:p w:rsidR="00F82556" w:rsidRDefault="00F82556" w:rsidP="00F82556">
      <w:pPr>
        <w:jc w:val="center"/>
        <w:rPr>
          <w:sz w:val="32"/>
        </w:rPr>
      </w:pPr>
      <w:r>
        <w:rPr>
          <w:sz w:val="32"/>
        </w:rPr>
        <w:t>12/2004. (VI. 5.) sz. rendeletben szabályozott kitüntetések leírása</w:t>
      </w:r>
    </w:p>
    <w:p w:rsidR="00F82556" w:rsidRDefault="00F82556" w:rsidP="00F82556">
      <w:pPr>
        <w:jc w:val="center"/>
        <w:rPr>
          <w:b/>
        </w:rPr>
      </w:pPr>
    </w:p>
    <w:p w:rsidR="00F82556" w:rsidRDefault="00F82556" w:rsidP="00F82556">
      <w:pPr>
        <w:jc w:val="both"/>
      </w:pPr>
    </w:p>
    <w:p w:rsidR="00F82556" w:rsidRDefault="00F82556" w:rsidP="00F82556">
      <w:pPr>
        <w:jc w:val="both"/>
      </w:pPr>
    </w:p>
    <w:p w:rsidR="00F82556" w:rsidRDefault="00F82556" w:rsidP="00F82556">
      <w:pPr>
        <w:pStyle w:val="Cmsor2"/>
        <w:jc w:val="left"/>
        <w:rPr>
          <w:u w:val="single"/>
        </w:rPr>
      </w:pPr>
      <w:r>
        <w:rPr>
          <w:u w:val="single"/>
        </w:rPr>
        <w:t>Tata Város Zsigmond Király Díja</w:t>
      </w:r>
    </w:p>
    <w:p w:rsidR="00F82556" w:rsidRDefault="00F82556" w:rsidP="00F82556">
      <w:pPr>
        <w:jc w:val="both"/>
        <w:rPr>
          <w:b/>
        </w:rPr>
      </w:pPr>
    </w:p>
    <w:p w:rsidR="00F82556" w:rsidRDefault="00F82556" w:rsidP="00F82556">
      <w:pPr>
        <w:numPr>
          <w:ilvl w:val="0"/>
          <w:numId w:val="2"/>
        </w:numPr>
        <w:jc w:val="both"/>
      </w:pPr>
      <w:r>
        <w:t xml:space="preserve">kétoldalas, 60 mm átmérőjű vertérem, melynek anyaga aranyozott ezüst. </w:t>
      </w:r>
    </w:p>
    <w:p w:rsidR="00F82556" w:rsidRDefault="00F82556" w:rsidP="00F82556">
      <w:pPr>
        <w:ind w:left="708"/>
        <w:jc w:val="both"/>
      </w:pPr>
      <w:r>
        <w:t xml:space="preserve">Az előlapon Zsigmond Király félalakos portréja, német-római császári díszben, jobb kezében a királyi jogar, bal kezében pedig az országalmát tartja. Az érem bal alsó részén a Sárkányrend jelvénye látható. A köriratban „Tata Város Zsigmond Király Díja” felirat olvasható. </w:t>
      </w:r>
    </w:p>
    <w:p w:rsidR="00F82556" w:rsidRDefault="00F82556" w:rsidP="00F82556">
      <w:pPr>
        <w:ind w:left="708"/>
        <w:jc w:val="both"/>
      </w:pPr>
      <w:r>
        <w:t xml:space="preserve">A művész szignója jobb oldalon a peremnél olvasható a körirat folytatásaként. </w:t>
      </w:r>
    </w:p>
    <w:p w:rsidR="00F82556" w:rsidRDefault="00F82556" w:rsidP="00F82556">
      <w:pPr>
        <w:pStyle w:val="Szvegtrzsbehzssal"/>
      </w:pPr>
      <w:r>
        <w:t>A hátlap átlósan négy részre van osztva, középen a város címere látható. A felső negyedben a tatai vár, az alsó negyedben egy díszes kartus az adományozott nevének a bevésésére szolgál. A bal negyedben az Óratorony, míg a jobb negyedben a tatai római katolikus templom került ábrázolásra.</w:t>
      </w:r>
    </w:p>
    <w:p w:rsidR="00F82556" w:rsidRDefault="00F82556" w:rsidP="00F82556">
      <w:pPr>
        <w:numPr>
          <w:ilvl w:val="0"/>
          <w:numId w:val="2"/>
        </w:numPr>
        <w:jc w:val="both"/>
      </w:pPr>
      <w:r>
        <w:t xml:space="preserve">az érem tervezője: Bozó József éremművész. </w:t>
      </w:r>
    </w:p>
    <w:p w:rsidR="00F82556" w:rsidRDefault="00F82556" w:rsidP="00F82556">
      <w:pPr>
        <w:ind w:left="360"/>
        <w:jc w:val="both"/>
        <w:rPr>
          <w:b/>
        </w:rPr>
      </w:pPr>
    </w:p>
    <w:p w:rsidR="00F82556" w:rsidRDefault="00F82556" w:rsidP="00F82556">
      <w:pPr>
        <w:ind w:left="360"/>
        <w:jc w:val="both"/>
        <w:rPr>
          <w:b/>
        </w:rPr>
      </w:pPr>
    </w:p>
    <w:p w:rsidR="00F82556" w:rsidRDefault="00F82556" w:rsidP="00F82556">
      <w:pPr>
        <w:ind w:left="360"/>
        <w:jc w:val="both"/>
        <w:rPr>
          <w:b/>
        </w:rPr>
      </w:pPr>
    </w:p>
    <w:p w:rsidR="00F82556" w:rsidRDefault="00F82556" w:rsidP="00F82556">
      <w:pPr>
        <w:ind w:left="780" w:hanging="72"/>
        <w:jc w:val="center"/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4238625" cy="1990725"/>
            <wp:effectExtent l="0" t="0" r="9525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990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556" w:rsidRDefault="00F82556" w:rsidP="00F82556">
      <w:pPr>
        <w:ind w:left="360"/>
        <w:jc w:val="both"/>
        <w:rPr>
          <w:b/>
        </w:rPr>
      </w:pPr>
    </w:p>
    <w:p w:rsidR="00F82556" w:rsidRDefault="00F82556" w:rsidP="00F82556">
      <w:pPr>
        <w:ind w:left="360"/>
        <w:jc w:val="both"/>
        <w:rPr>
          <w:b/>
        </w:rPr>
      </w:pPr>
    </w:p>
    <w:p w:rsidR="00F82556" w:rsidRDefault="00F82556" w:rsidP="00F82556">
      <w:pPr>
        <w:ind w:left="360"/>
        <w:jc w:val="both"/>
        <w:rPr>
          <w:b/>
        </w:rPr>
      </w:pPr>
    </w:p>
    <w:p w:rsidR="00F82556" w:rsidRDefault="00F82556" w:rsidP="00F82556">
      <w:pPr>
        <w:ind w:left="360"/>
        <w:jc w:val="both"/>
        <w:rPr>
          <w:b/>
        </w:rPr>
      </w:pPr>
    </w:p>
    <w:p w:rsidR="00F82556" w:rsidRDefault="00F82556" w:rsidP="00F82556">
      <w:pPr>
        <w:ind w:left="360"/>
        <w:jc w:val="both"/>
        <w:rPr>
          <w:b/>
        </w:rPr>
      </w:pPr>
    </w:p>
    <w:p w:rsidR="00F82556" w:rsidRDefault="00F82556" w:rsidP="00F82556">
      <w:pPr>
        <w:ind w:left="360"/>
        <w:jc w:val="both"/>
        <w:rPr>
          <w:b/>
        </w:rPr>
      </w:pPr>
    </w:p>
    <w:p w:rsidR="00F82556" w:rsidRDefault="00F82556" w:rsidP="00F82556">
      <w:pPr>
        <w:ind w:left="360"/>
        <w:jc w:val="both"/>
        <w:rPr>
          <w:b/>
        </w:rPr>
      </w:pPr>
    </w:p>
    <w:p w:rsidR="00F82556" w:rsidRDefault="00F82556" w:rsidP="00F82556">
      <w:pPr>
        <w:ind w:left="360"/>
        <w:jc w:val="both"/>
        <w:rPr>
          <w:b/>
        </w:rPr>
      </w:pPr>
    </w:p>
    <w:p w:rsidR="00F82556" w:rsidRDefault="00F82556" w:rsidP="00F82556">
      <w:pPr>
        <w:ind w:left="360"/>
        <w:jc w:val="both"/>
        <w:rPr>
          <w:b/>
        </w:rPr>
      </w:pPr>
    </w:p>
    <w:p w:rsidR="00F82556" w:rsidRDefault="00F82556" w:rsidP="00F82556">
      <w:pPr>
        <w:ind w:left="360"/>
        <w:jc w:val="both"/>
        <w:rPr>
          <w:b/>
        </w:rPr>
      </w:pPr>
    </w:p>
    <w:p w:rsidR="00F82556" w:rsidRDefault="00F82556" w:rsidP="00F82556">
      <w:pPr>
        <w:ind w:left="360"/>
        <w:jc w:val="both"/>
        <w:rPr>
          <w:b/>
        </w:rPr>
      </w:pPr>
    </w:p>
    <w:p w:rsidR="00F82556" w:rsidRDefault="00F82556" w:rsidP="00F82556">
      <w:pPr>
        <w:pStyle w:val="Cmsor3"/>
        <w:rPr>
          <w:sz w:val="24"/>
          <w:u w:val="single"/>
        </w:rPr>
      </w:pPr>
    </w:p>
    <w:p w:rsidR="00F82556" w:rsidRDefault="00F82556" w:rsidP="00F82556">
      <w:pPr>
        <w:pStyle w:val="Cmsor3"/>
        <w:jc w:val="left"/>
        <w:rPr>
          <w:sz w:val="24"/>
          <w:u w:val="single"/>
        </w:rPr>
      </w:pPr>
      <w:r>
        <w:rPr>
          <w:sz w:val="24"/>
          <w:u w:val="single"/>
        </w:rPr>
        <w:t>Tata Városáért kitüntetés arany, ezüst, bronz fokozatban</w:t>
      </w:r>
    </w:p>
    <w:p w:rsidR="00F82556" w:rsidRDefault="00F82556" w:rsidP="00F82556"/>
    <w:p w:rsidR="00F82556" w:rsidRDefault="00F82556" w:rsidP="00F82556">
      <w:pPr>
        <w:numPr>
          <w:ilvl w:val="0"/>
          <w:numId w:val="2"/>
        </w:numPr>
        <w:jc w:val="both"/>
      </w:pPr>
      <w:r>
        <w:t>arany fokozat: kétoldalas, 42,5 mm átmérőjű vertérem, melynek anyaga arany.</w:t>
      </w:r>
    </w:p>
    <w:p w:rsidR="00F82556" w:rsidRDefault="00F82556" w:rsidP="00F82556">
      <w:pPr>
        <w:pStyle w:val="Szvegtrzsbehzssal"/>
      </w:pPr>
      <w:r>
        <w:t xml:space="preserve">Az érem előlapján a felső mezőben a tatai vár épülete teljes hosszában elnyújtózva, miközben képe tükröződik a tó vizének fodrozódó felületén, utalva a vizek városára. A vár felett köriratban „Tata Városáért”. Az alsó mezőben a vízre utaló plasztikai megoldás. A művész szignója lent balra, a peremnél olvasható. </w:t>
      </w:r>
    </w:p>
    <w:p w:rsidR="00F82556" w:rsidRDefault="00F82556" w:rsidP="00F82556">
      <w:pPr>
        <w:ind w:left="708"/>
        <w:jc w:val="both"/>
        <w:rPr>
          <w:b/>
        </w:rPr>
      </w:pPr>
    </w:p>
    <w:p w:rsidR="00F82556" w:rsidRDefault="00F82556" w:rsidP="00F82556">
      <w:pPr>
        <w:ind w:left="708"/>
        <w:jc w:val="center"/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1790700" cy="1743075"/>
            <wp:effectExtent l="0" t="0" r="0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43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556" w:rsidRDefault="00F82556" w:rsidP="00F82556">
      <w:pPr>
        <w:ind w:left="708"/>
        <w:jc w:val="both"/>
        <w:rPr>
          <w:b/>
        </w:rPr>
      </w:pPr>
    </w:p>
    <w:p w:rsidR="00F82556" w:rsidRDefault="00F82556" w:rsidP="00F82556">
      <w:pPr>
        <w:numPr>
          <w:ilvl w:val="0"/>
          <w:numId w:val="2"/>
        </w:numPr>
        <w:jc w:val="both"/>
      </w:pPr>
      <w:r>
        <w:t xml:space="preserve">ezüst fokozat: kétoldalas, 42,5 mm átmérőjű vertérem, melynek anyaga ezüst. </w:t>
      </w:r>
    </w:p>
    <w:p w:rsidR="00F82556" w:rsidRDefault="00F82556" w:rsidP="00F82556">
      <w:pPr>
        <w:ind w:left="708"/>
        <w:jc w:val="both"/>
      </w:pPr>
      <w:r>
        <w:t>Az érem előlapján függőleges középmezőben a tatai római katolikus templom, a környező növényzet jelzésével, lent az épület mellett balra a művész szignója. A felső köriratban „Tata Városáért”.</w:t>
      </w:r>
    </w:p>
    <w:p w:rsidR="00F82556" w:rsidRDefault="00F82556" w:rsidP="00F82556">
      <w:pPr>
        <w:ind w:left="708"/>
        <w:jc w:val="both"/>
        <w:rPr>
          <w:b/>
        </w:rPr>
      </w:pPr>
    </w:p>
    <w:p w:rsidR="00F82556" w:rsidRDefault="00F82556" w:rsidP="00F82556">
      <w:pPr>
        <w:ind w:left="708"/>
        <w:jc w:val="center"/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1781175" cy="1752600"/>
            <wp:effectExtent l="0" t="0" r="952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52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556" w:rsidRDefault="00F82556" w:rsidP="00F82556">
      <w:pPr>
        <w:ind w:left="708"/>
        <w:jc w:val="both"/>
        <w:rPr>
          <w:b/>
        </w:rPr>
      </w:pPr>
    </w:p>
    <w:p w:rsidR="00F82556" w:rsidRDefault="00F82556" w:rsidP="00F82556">
      <w:pPr>
        <w:numPr>
          <w:ilvl w:val="0"/>
          <w:numId w:val="2"/>
        </w:numPr>
        <w:jc w:val="both"/>
      </w:pPr>
      <w:r>
        <w:t>bronz fokozat: kétoldalas, 42,5 mm átmérőjű vertérem, melynek anyaga bronz.</w:t>
      </w:r>
    </w:p>
    <w:p w:rsidR="00F82556" w:rsidRDefault="00F82556" w:rsidP="00F82556">
      <w:pPr>
        <w:ind w:left="708"/>
        <w:jc w:val="both"/>
      </w:pPr>
      <w:r>
        <w:t>Az érem előlapján függőleges középmezőben az Óratorony. Az Óratorony alatt a peremnél a művész szignója. A felső köriratban „Tata Városáért”.</w:t>
      </w:r>
    </w:p>
    <w:p w:rsidR="00F82556" w:rsidRDefault="00F82556" w:rsidP="00F82556">
      <w:pPr>
        <w:ind w:left="708"/>
        <w:jc w:val="both"/>
        <w:rPr>
          <w:b/>
        </w:rPr>
      </w:pPr>
    </w:p>
    <w:p w:rsidR="00F82556" w:rsidRDefault="00F82556" w:rsidP="00F82556">
      <w:pPr>
        <w:ind w:left="708"/>
        <w:jc w:val="center"/>
        <w:rPr>
          <w:b/>
        </w:rPr>
      </w:pPr>
      <w:r>
        <w:rPr>
          <w:b/>
          <w:noProof/>
          <w:lang w:eastAsia="hu-HU"/>
        </w:rPr>
        <w:lastRenderedPageBreak/>
        <w:drawing>
          <wp:inline distT="0" distB="0" distL="0" distR="0">
            <wp:extent cx="1828800" cy="18669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66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556" w:rsidRDefault="00F82556" w:rsidP="00F82556">
      <w:pPr>
        <w:ind w:left="708"/>
        <w:jc w:val="both"/>
        <w:rPr>
          <w:b/>
        </w:rPr>
      </w:pPr>
    </w:p>
    <w:p w:rsidR="00F82556" w:rsidRDefault="00F82556" w:rsidP="00F82556">
      <w:pPr>
        <w:numPr>
          <w:ilvl w:val="0"/>
          <w:numId w:val="2"/>
        </w:numPr>
        <w:jc w:val="both"/>
      </w:pPr>
      <w:r>
        <w:t xml:space="preserve">mindhárom fokozatnál a hátlap azonos. A felső mezőben a város címere, az alsó mezőben – a címer alatt is átfutva – három hajtással jelenik meg a szalag, melyre a gravírozott felület (név, évszám) kerülhet. </w:t>
      </w:r>
    </w:p>
    <w:p w:rsidR="00F82556" w:rsidRDefault="00F82556" w:rsidP="00F82556">
      <w:pPr>
        <w:numPr>
          <w:ilvl w:val="0"/>
          <w:numId w:val="2"/>
        </w:numPr>
        <w:jc w:val="both"/>
      </w:pPr>
      <w:r>
        <w:t>az érem tervezője: Szunyogh László szobrász.</w:t>
      </w:r>
    </w:p>
    <w:p w:rsidR="00F82556" w:rsidRDefault="00F82556" w:rsidP="00F82556">
      <w:pPr>
        <w:ind w:left="360"/>
        <w:jc w:val="both"/>
        <w:rPr>
          <w:b/>
        </w:rPr>
      </w:pPr>
    </w:p>
    <w:p w:rsidR="00F82556" w:rsidRDefault="00F82556" w:rsidP="00F82556">
      <w:pPr>
        <w:ind w:left="360"/>
        <w:jc w:val="both"/>
        <w:rPr>
          <w:b/>
        </w:rPr>
      </w:pPr>
    </w:p>
    <w:p w:rsidR="00F82556" w:rsidRDefault="00F82556" w:rsidP="00F82556">
      <w:pPr>
        <w:ind w:left="360"/>
        <w:jc w:val="both"/>
        <w:rPr>
          <w:b/>
        </w:rPr>
      </w:pPr>
    </w:p>
    <w:p w:rsidR="00F82556" w:rsidRDefault="00F82556" w:rsidP="00F82556">
      <w:pPr>
        <w:ind w:left="780" w:hanging="72"/>
        <w:jc w:val="center"/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1981200" cy="189547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95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556" w:rsidRDefault="00F82556" w:rsidP="00F82556">
      <w:pPr>
        <w:jc w:val="both"/>
        <w:rPr>
          <w:b/>
        </w:rPr>
      </w:pPr>
    </w:p>
    <w:p w:rsidR="00F82556" w:rsidRDefault="00F82556" w:rsidP="00F82556">
      <w:pPr>
        <w:jc w:val="both"/>
        <w:rPr>
          <w:b/>
        </w:rPr>
      </w:pPr>
    </w:p>
    <w:p w:rsidR="00F82556" w:rsidRDefault="00F82556" w:rsidP="00F82556">
      <w:pPr>
        <w:pStyle w:val="Cmsor3"/>
        <w:jc w:val="left"/>
        <w:rPr>
          <w:u w:val="single"/>
        </w:rPr>
      </w:pPr>
      <w:r>
        <w:rPr>
          <w:u w:val="single"/>
        </w:rPr>
        <w:t>Tata Város Díszpolgára cím</w:t>
      </w:r>
    </w:p>
    <w:p w:rsidR="00F82556" w:rsidRDefault="00F82556" w:rsidP="00F82556">
      <w:pPr>
        <w:jc w:val="both"/>
        <w:rPr>
          <w:b/>
        </w:rPr>
      </w:pPr>
    </w:p>
    <w:p w:rsidR="00F82556" w:rsidRDefault="00F82556" w:rsidP="00F82556">
      <w:pPr>
        <w:numPr>
          <w:ilvl w:val="0"/>
          <w:numId w:val="2"/>
        </w:numPr>
        <w:jc w:val="both"/>
      </w:pPr>
      <w:r>
        <w:t xml:space="preserve">kétoldalas, 42,5 mm átmérőjű vertérem, melynek anyaga aranyozott ezüst. </w:t>
      </w:r>
    </w:p>
    <w:p w:rsidR="00F82556" w:rsidRDefault="00F82556" w:rsidP="00F82556">
      <w:pPr>
        <w:ind w:left="708"/>
        <w:jc w:val="both"/>
      </w:pPr>
      <w:r>
        <w:t>Az érem előlapjának felső kétharmadában középen a város címere, az alsó mezőben egymás mellett a tatai római katolikus templom, a vár és az Óratorony.</w:t>
      </w:r>
    </w:p>
    <w:p w:rsidR="00F82556" w:rsidRDefault="00F82556" w:rsidP="00F82556">
      <w:pPr>
        <w:ind w:left="708"/>
        <w:jc w:val="both"/>
      </w:pPr>
      <w:r>
        <w:t>Felső köriratban „Tata Város Díszpolgára” felirat.</w:t>
      </w:r>
    </w:p>
    <w:p w:rsidR="00F82556" w:rsidRDefault="00F82556" w:rsidP="00F82556">
      <w:pPr>
        <w:ind w:left="708"/>
        <w:jc w:val="both"/>
      </w:pPr>
      <w:r>
        <w:t>Az érem hátlapján körben babérkoszorú.</w:t>
      </w:r>
    </w:p>
    <w:p w:rsidR="00F82556" w:rsidRDefault="00F82556" w:rsidP="00F82556">
      <w:pPr>
        <w:ind w:left="708"/>
        <w:jc w:val="both"/>
      </w:pPr>
      <w:r>
        <w:t>Ez a felület alkalmas a név és az évszám gravírozására.</w:t>
      </w:r>
    </w:p>
    <w:p w:rsidR="00F82556" w:rsidRDefault="00F82556" w:rsidP="00F82556">
      <w:pPr>
        <w:numPr>
          <w:ilvl w:val="0"/>
          <w:numId w:val="2"/>
        </w:numPr>
        <w:jc w:val="both"/>
      </w:pPr>
      <w:r>
        <w:t xml:space="preserve">az érem tervezője: </w:t>
      </w:r>
      <w:proofErr w:type="spellStart"/>
      <w:r>
        <w:t>Lebó</w:t>
      </w:r>
      <w:proofErr w:type="spellEnd"/>
      <w:r>
        <w:t xml:space="preserve"> Ferenc szobrászművész.</w:t>
      </w:r>
    </w:p>
    <w:p w:rsidR="00F82556" w:rsidRDefault="00F82556" w:rsidP="00F82556">
      <w:pPr>
        <w:jc w:val="both"/>
        <w:rPr>
          <w:b/>
        </w:rPr>
      </w:pPr>
    </w:p>
    <w:p w:rsidR="00F82556" w:rsidRDefault="00F82556" w:rsidP="00F82556">
      <w:pPr>
        <w:jc w:val="both"/>
        <w:rPr>
          <w:b/>
        </w:rPr>
      </w:pPr>
    </w:p>
    <w:p w:rsidR="00F82556" w:rsidRDefault="00F82556" w:rsidP="00F82556">
      <w:pPr>
        <w:ind w:left="585"/>
        <w:jc w:val="center"/>
      </w:pPr>
      <w:r>
        <w:rPr>
          <w:b/>
          <w:noProof/>
          <w:lang w:eastAsia="hu-HU"/>
        </w:rPr>
        <w:lastRenderedPageBreak/>
        <w:drawing>
          <wp:inline distT="0" distB="0" distL="0" distR="0">
            <wp:extent cx="4086225" cy="1943100"/>
            <wp:effectExtent l="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943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556" w:rsidRDefault="00F82556" w:rsidP="00F82556"/>
    <w:p w:rsidR="00F82556" w:rsidRDefault="00F82556" w:rsidP="00F82556"/>
    <w:p w:rsidR="00F82556" w:rsidRDefault="00F82556" w:rsidP="00F82556">
      <w:pPr>
        <w:jc w:val="center"/>
      </w:pPr>
      <w:r>
        <w:t xml:space="preserve">                   ------------</w:t>
      </w:r>
    </w:p>
    <w:p w:rsidR="00F82556" w:rsidRDefault="00F82556" w:rsidP="00F82556">
      <w:pPr>
        <w:jc w:val="both"/>
      </w:pPr>
    </w:p>
    <w:p w:rsidR="00470D9C" w:rsidRDefault="00F82556">
      <w:bookmarkStart w:id="0" w:name="_GoBack"/>
      <w:bookmarkEnd w:id="0"/>
    </w:p>
    <w:sectPr w:rsidR="00470D9C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footnotePr>
        <w:numRestart w:val="eachPage"/>
      </w:footnotePr>
      <w:pgSz w:w="11906" w:h="16838"/>
      <w:pgMar w:top="1175" w:right="1417" w:bottom="1693" w:left="1417" w:header="89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2556" w:rsidRDefault="00F82556" w:rsidP="00F82556">
      <w:r>
        <w:separator/>
      </w:r>
    </w:p>
  </w:endnote>
  <w:endnote w:type="continuationSeparator" w:id="0">
    <w:p w:rsidR="00F82556" w:rsidRDefault="00F82556" w:rsidP="00F82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F8255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F82556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F8255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2556" w:rsidRDefault="00F82556" w:rsidP="00F82556">
      <w:r>
        <w:separator/>
      </w:r>
    </w:p>
  </w:footnote>
  <w:footnote w:type="continuationSeparator" w:id="0">
    <w:p w:rsidR="00F82556" w:rsidRDefault="00F82556" w:rsidP="00F82556">
      <w:r>
        <w:continuationSeparator/>
      </w:r>
    </w:p>
  </w:footnote>
  <w:footnote w:id="1">
    <w:p w:rsidR="00F82556" w:rsidRDefault="00F82556" w:rsidP="00F82556">
      <w:pPr>
        <w:pStyle w:val="Lbjegyzetszveg"/>
      </w:pPr>
      <w:r>
        <w:rPr>
          <w:rStyle w:val="Lbjegyzet-karakterek"/>
        </w:rPr>
        <w:footnoteRef/>
      </w:r>
      <w:r>
        <w:tab/>
        <w:t xml:space="preserve"> Beiktatta: 26/2004. (IX. 20.) sz. ÖR. 1. §</w:t>
      </w:r>
      <w:proofErr w:type="spellStart"/>
      <w:r>
        <w:t>-a</w:t>
      </w:r>
      <w:proofErr w:type="spellEnd"/>
      <w:r>
        <w:t>. Hatályos: 2004. szeptember 20-tól.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F82556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F8255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8"/>
    <w:multiLevelType w:val="multilevel"/>
    <w:tmpl w:val="00000008"/>
    <w:name w:val="WW8Num8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556"/>
    <w:rsid w:val="00344BA9"/>
    <w:rsid w:val="0047111A"/>
    <w:rsid w:val="00F82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9DB78C-B309-453E-8463-1EDB26450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8255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Cmsor2">
    <w:name w:val="heading 2"/>
    <w:basedOn w:val="Norml"/>
    <w:next w:val="Norml"/>
    <w:link w:val="Cmsor2Char"/>
    <w:qFormat/>
    <w:rsid w:val="00F82556"/>
    <w:pPr>
      <w:keepNext/>
      <w:numPr>
        <w:ilvl w:val="1"/>
        <w:numId w:val="1"/>
      </w:numPr>
      <w:jc w:val="center"/>
      <w:outlineLvl w:val="1"/>
    </w:pPr>
    <w:rPr>
      <w:b/>
      <w:sz w:val="26"/>
    </w:rPr>
  </w:style>
  <w:style w:type="paragraph" w:styleId="Cmsor3">
    <w:name w:val="heading 3"/>
    <w:basedOn w:val="Norml"/>
    <w:next w:val="Norml"/>
    <w:link w:val="Cmsor3Char"/>
    <w:qFormat/>
    <w:rsid w:val="00F82556"/>
    <w:pPr>
      <w:keepNext/>
      <w:numPr>
        <w:ilvl w:val="2"/>
        <w:numId w:val="1"/>
      </w:numPr>
      <w:jc w:val="center"/>
      <w:outlineLvl w:val="2"/>
    </w:pPr>
    <w:rPr>
      <w:b/>
      <w:color w:val="000000"/>
      <w:sz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rsid w:val="00F82556"/>
    <w:rPr>
      <w:rFonts w:ascii="Times New Roman" w:eastAsia="Times New Roman" w:hAnsi="Times New Roman" w:cs="Times New Roman"/>
      <w:b/>
      <w:sz w:val="26"/>
      <w:szCs w:val="24"/>
      <w:lang w:eastAsia="ar-SA"/>
    </w:rPr>
  </w:style>
  <w:style w:type="character" w:customStyle="1" w:styleId="Cmsor3Char">
    <w:name w:val="Címsor 3 Char"/>
    <w:basedOn w:val="Bekezdsalapbettpusa"/>
    <w:link w:val="Cmsor3"/>
    <w:rsid w:val="00F82556"/>
    <w:rPr>
      <w:rFonts w:ascii="Times New Roman" w:eastAsia="Times New Roman" w:hAnsi="Times New Roman" w:cs="Times New Roman"/>
      <w:b/>
      <w:color w:val="000000"/>
      <w:sz w:val="26"/>
      <w:szCs w:val="24"/>
      <w:lang w:eastAsia="ar-SA"/>
    </w:rPr>
  </w:style>
  <w:style w:type="character" w:customStyle="1" w:styleId="Lbjegyzet-karakterek">
    <w:name w:val="Lábjegyzet-karakterek"/>
    <w:basedOn w:val="Bekezdsalapbettpusa"/>
    <w:rsid w:val="00F82556"/>
    <w:rPr>
      <w:vertAlign w:val="superscript"/>
    </w:rPr>
  </w:style>
  <w:style w:type="paragraph" w:customStyle="1" w:styleId="Cmsor">
    <w:name w:val="Címsor"/>
    <w:basedOn w:val="Norml"/>
    <w:next w:val="Szvegtrzs"/>
    <w:rsid w:val="00F82556"/>
    <w:pPr>
      <w:tabs>
        <w:tab w:val="left" w:pos="7513"/>
      </w:tabs>
      <w:jc w:val="center"/>
    </w:pPr>
    <w:rPr>
      <w:sz w:val="40"/>
    </w:rPr>
  </w:style>
  <w:style w:type="paragraph" w:styleId="lfej">
    <w:name w:val="header"/>
    <w:basedOn w:val="Norml"/>
    <w:link w:val="lfejChar"/>
    <w:semiHidden/>
    <w:rsid w:val="00F8255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semiHidden/>
    <w:rsid w:val="00F8255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zvegtrzsbehzssal">
    <w:name w:val="Body Text Indent"/>
    <w:basedOn w:val="Norml"/>
    <w:link w:val="SzvegtrzsbehzssalChar"/>
    <w:semiHidden/>
    <w:rsid w:val="00F82556"/>
    <w:pPr>
      <w:ind w:left="708"/>
      <w:jc w:val="both"/>
    </w:pPr>
  </w:style>
  <w:style w:type="character" w:customStyle="1" w:styleId="SzvegtrzsbehzssalChar">
    <w:name w:val="Szövegtörzs behúzással Char"/>
    <w:basedOn w:val="Bekezdsalapbettpusa"/>
    <w:link w:val="Szvegtrzsbehzssal"/>
    <w:semiHidden/>
    <w:rsid w:val="00F8255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bjegyzetszveg">
    <w:name w:val="footnote text"/>
    <w:basedOn w:val="Norml"/>
    <w:link w:val="LbjegyzetszvegChar"/>
    <w:semiHidden/>
    <w:rsid w:val="00F82556"/>
    <w:rPr>
      <w:sz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F82556"/>
    <w:rPr>
      <w:rFonts w:ascii="Times New Roman" w:eastAsia="Times New Roman" w:hAnsi="Times New Roman" w:cs="Times New Roman"/>
      <w:sz w:val="20"/>
      <w:szCs w:val="24"/>
      <w:lang w:eastAsia="ar-SA"/>
    </w:rPr>
  </w:style>
  <w:style w:type="paragraph" w:styleId="llb">
    <w:name w:val="footer"/>
    <w:basedOn w:val="Norml"/>
    <w:link w:val="llbChar"/>
    <w:semiHidden/>
    <w:rsid w:val="00F82556"/>
    <w:pPr>
      <w:suppressLineNumbers/>
      <w:tabs>
        <w:tab w:val="center" w:pos="4819"/>
        <w:tab w:val="right" w:pos="9638"/>
      </w:tabs>
    </w:pPr>
  </w:style>
  <w:style w:type="character" w:customStyle="1" w:styleId="llbChar">
    <w:name w:val="Élőláb Char"/>
    <w:basedOn w:val="Bekezdsalapbettpusa"/>
    <w:link w:val="llb"/>
    <w:semiHidden/>
    <w:rsid w:val="00F8255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zvegtrzs">
    <w:name w:val="Body Text"/>
    <w:basedOn w:val="Norml"/>
    <w:link w:val="SzvegtrzsChar"/>
    <w:uiPriority w:val="99"/>
    <w:semiHidden/>
    <w:unhideWhenUsed/>
    <w:rsid w:val="00F82556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F82556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335</Words>
  <Characters>2313</Characters>
  <Application>Microsoft Office Word</Application>
  <DocSecurity>0</DocSecurity>
  <Lines>19</Lines>
  <Paragraphs>5</Paragraphs>
  <ScaleCrop>false</ScaleCrop>
  <Company/>
  <LinksUpToDate>false</LinksUpToDate>
  <CharactersWithSpaces>2643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Lantai Éva dr.</dc:creator>
  <cp:keywords/>
  <dc:description/>
  <cp:lastModifiedBy>Lantai Éva dr.</cp:lastModifiedBy>
  <cp:revision>1</cp:revision>
  <dcterms:created xsi:type="dcterms:W3CDTF">2016-01-19T06:54:00Z</dcterms:created>
  <dcterms:modified xsi:type="dcterms:W3CDTF">2016-01-19T06:55:00Z</dcterms:modified>
</cp:coreProperties>
</file>