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383B" w14:textId="77777777" w:rsidR="00DD5C70" w:rsidRPr="00F53EF9" w:rsidRDefault="00DD5C70" w:rsidP="00DD5C70">
      <w:pPr>
        <w:jc w:val="center"/>
        <w:rPr>
          <w:b/>
          <w:i/>
        </w:rPr>
      </w:pPr>
      <w:bookmarkStart w:id="0" w:name="_GoBack"/>
      <w:bookmarkEnd w:id="0"/>
      <w:r w:rsidRPr="00F53EF9">
        <w:rPr>
          <w:b/>
          <w:i/>
        </w:rPr>
        <w:t>A RENDELET-TERVEZET ÁLTALÁNOS INDOK</w:t>
      </w:r>
      <w:r>
        <w:rPr>
          <w:b/>
          <w:i/>
        </w:rPr>
        <w:t>O</w:t>
      </w:r>
      <w:r w:rsidRPr="00F53EF9">
        <w:rPr>
          <w:b/>
          <w:i/>
        </w:rPr>
        <w:t>LÁSA</w:t>
      </w:r>
    </w:p>
    <w:p w14:paraId="42DBE71B" w14:textId="77777777" w:rsidR="00DD5C70" w:rsidRDefault="00DD5C70" w:rsidP="00DD5C70">
      <w:pPr>
        <w:widowControl/>
        <w:overflowPunct w:val="0"/>
        <w:autoSpaceDE w:val="0"/>
        <w:jc w:val="both"/>
        <w:textAlignment w:val="baseline"/>
        <w:rPr>
          <w:bCs/>
          <w:iCs/>
        </w:rPr>
      </w:pPr>
    </w:p>
    <w:p w14:paraId="093DCF14" w14:textId="77777777" w:rsidR="00DD5C70" w:rsidRDefault="00DD5C70" w:rsidP="00DD5C70">
      <w:pPr>
        <w:pStyle w:val="cf0"/>
        <w:jc w:val="both"/>
        <w:textAlignment w:val="top"/>
      </w:pPr>
      <w:r w:rsidRPr="00712C6B">
        <w:t>A</w:t>
      </w:r>
      <w:r>
        <w:t xml:space="preserve"> szociális igazgatásról és szociális ellátásokról szóló 1993. évi III. törvény (a továbbiakban: Szt.) </w:t>
      </w:r>
      <w:r w:rsidRPr="00712C6B">
        <w:t>92. § (1)-(2) bekezdése ad felhatalmazást az önkormányzat számára, hogy a személyes gondoskodást nyújtó szociális ellátásokról, azok igénybevételéről, valamint a fizetendő térítési díjakról rendeletet alkosson</w:t>
      </w:r>
      <w:r>
        <w:t>, és ebből következően, az intézményi térítési díj mértékét is e rendeletében rögzítse.</w:t>
      </w:r>
    </w:p>
    <w:p w14:paraId="233DE4B2" w14:textId="77777777" w:rsidR="00DD5C70" w:rsidRDefault="00DD5C70" w:rsidP="00DD5C70">
      <w:pPr>
        <w:jc w:val="both"/>
      </w:pPr>
      <w:r>
        <w:t xml:space="preserve">A Kormányrendelet módosítása következtében 2020.  január 1-jétől a bentlakásos intézményekben mind </w:t>
      </w:r>
      <w:r w:rsidRPr="00A805C1">
        <w:t>az intézményi</w:t>
      </w:r>
      <w:r>
        <w:t xml:space="preserve">, mind pedig </w:t>
      </w:r>
      <w:r w:rsidRPr="00A805C1">
        <w:t>a személyi térítési díjat csak ellátási napra kell meghatározni, a havi intézményi térítési díj és a havi személyi térítési díj fogalma a Kormányrendeletben hatályon kívül lett helyezve.</w:t>
      </w:r>
    </w:p>
    <w:p w14:paraId="187B3D82" w14:textId="77777777" w:rsidR="00DD5C70" w:rsidRDefault="00DD5C70" w:rsidP="00DD5C70">
      <w:pPr>
        <w:jc w:val="both"/>
      </w:pPr>
    </w:p>
    <w:p w14:paraId="4AF36A95" w14:textId="77777777" w:rsidR="00DD5C70" w:rsidRPr="000C7BC2" w:rsidRDefault="00DD5C70" w:rsidP="00DD5C70">
      <w:pPr>
        <w:tabs>
          <w:tab w:val="left" w:pos="1276"/>
        </w:tabs>
        <w:jc w:val="both"/>
        <w:rPr>
          <w:i/>
        </w:rPr>
      </w:pPr>
      <w:r w:rsidRPr="000C7BC2">
        <w:rPr>
          <w:i/>
        </w:rPr>
        <w:t>(</w:t>
      </w:r>
      <w:r w:rsidRPr="000C7BC2">
        <w:rPr>
          <w:i/>
          <w:u w:val="single"/>
        </w:rPr>
        <w:t>Magyarázat:</w:t>
      </w:r>
      <w:r w:rsidRPr="000C7BC2">
        <w:rPr>
          <w:i/>
        </w:rPr>
        <w:t xml:space="preserve"> </w:t>
      </w:r>
      <w:r w:rsidRPr="000C7BC2">
        <w:rPr>
          <w:i/>
        </w:rPr>
        <w:tab/>
        <w:t>intézményi térítési díj a fenntartó által meghatározott maximális díj;</w:t>
      </w:r>
    </w:p>
    <w:p w14:paraId="774CC578" w14:textId="77777777" w:rsidR="00DD5C70" w:rsidRPr="000C7BC2" w:rsidRDefault="00DD5C70" w:rsidP="00DD5C70">
      <w:pPr>
        <w:ind w:left="1418"/>
        <w:jc w:val="both"/>
        <w:rPr>
          <w:i/>
        </w:rPr>
      </w:pPr>
      <w:r w:rsidRPr="000C7BC2">
        <w:rPr>
          <w:i/>
        </w:rPr>
        <w:t>személyi térítési díj az ellátott havi jövedelme és az ellátási típus alapján ténylegesen fizetendő díj, amelyet az ellátás igénybevétele alapján az intézmény számláz ki az ellátottnak).</w:t>
      </w:r>
    </w:p>
    <w:p w14:paraId="574089A6" w14:textId="77777777" w:rsidR="00DD5C70" w:rsidRDefault="00DD5C70" w:rsidP="00DD5C70">
      <w:pPr>
        <w:jc w:val="both"/>
      </w:pPr>
    </w:p>
    <w:p w14:paraId="61ED8549" w14:textId="77777777" w:rsidR="00DD5C70" w:rsidRPr="00A805C1" w:rsidRDefault="00DD5C70" w:rsidP="00DD5C70">
      <w:pPr>
        <w:jc w:val="both"/>
      </w:pPr>
      <w:r w:rsidRPr="00A805C1">
        <w:t>Hatályon kívül lettek helyezve a Kormányrendelet azon rendelkezései is, melyek szerint a napi intézményi térítési díj a havi intézményi térítési díj, a napi személyi térítési díj pedig a havi személyi térítési díj harmincad része. Ebből következően az ellátott által egy hónapban fizetendő személyi térítési díjat a napi személyi térítési díj és az adott hónap napjainak száma alapján kell meghatározni, figyelembe véve az ellátási napok és a távolléti napok számát.</w:t>
      </w:r>
    </w:p>
    <w:p w14:paraId="701F3582" w14:textId="77777777" w:rsidR="00DD5C70" w:rsidRPr="00A805C1" w:rsidRDefault="00DD5C70" w:rsidP="00DD5C70">
      <w:pPr>
        <w:jc w:val="both"/>
      </w:pPr>
    </w:p>
    <w:p w14:paraId="78549CF5" w14:textId="77777777" w:rsidR="00DD5C70" w:rsidRPr="00712C6B" w:rsidRDefault="00DD5C70" w:rsidP="00DD5C70">
      <w:pPr>
        <w:jc w:val="both"/>
      </w:pPr>
      <w:r w:rsidRPr="00A805C1">
        <w:t>A</w:t>
      </w:r>
      <w:r>
        <w:t xml:space="preserve"> fentiek alapján a</w:t>
      </w:r>
      <w:r w:rsidRPr="00A805C1">
        <w:t xml:space="preserve">z </w:t>
      </w:r>
      <w:r>
        <w:t xml:space="preserve">Szer. 2. mellékletében a </w:t>
      </w:r>
      <w:r w:rsidRPr="00A805C1">
        <w:t>bentlakásos intézményekre vonatkozó havi intézményi térítési díjakat a közgyűlésnek hatályon kívül kell helyeznie.</w:t>
      </w:r>
    </w:p>
    <w:p w14:paraId="61165006" w14:textId="77777777" w:rsidR="00DD5C70" w:rsidRDefault="00DD5C70" w:rsidP="00DD5C70">
      <w:pPr>
        <w:jc w:val="both"/>
      </w:pPr>
    </w:p>
    <w:p w14:paraId="3008DB1C" w14:textId="77777777" w:rsidR="00DD5C70" w:rsidRDefault="00DD5C70" w:rsidP="00DD5C70">
      <w:pPr>
        <w:jc w:val="both"/>
      </w:pPr>
    </w:p>
    <w:p w14:paraId="5ECA8E59" w14:textId="77777777" w:rsidR="00DD5C70" w:rsidRDefault="00DD5C70" w:rsidP="00DD5C70">
      <w:pPr>
        <w:jc w:val="both"/>
      </w:pPr>
    </w:p>
    <w:p w14:paraId="1BC3C99F" w14:textId="77777777" w:rsidR="00DD5C70" w:rsidRPr="00F53EF9" w:rsidRDefault="00DD5C70" w:rsidP="00DD5C70">
      <w:pPr>
        <w:jc w:val="center"/>
        <w:rPr>
          <w:b/>
          <w:i/>
        </w:rPr>
      </w:pPr>
      <w:r w:rsidRPr="00F53EF9">
        <w:rPr>
          <w:b/>
          <w:i/>
        </w:rPr>
        <w:t xml:space="preserve">A RENDELET-TERVEZET </w:t>
      </w:r>
      <w:r>
        <w:rPr>
          <w:b/>
          <w:i/>
        </w:rPr>
        <w:t xml:space="preserve">RÉSZLETES </w:t>
      </w:r>
      <w:r w:rsidRPr="00F53EF9">
        <w:rPr>
          <w:b/>
          <w:i/>
        </w:rPr>
        <w:t>INDOKLÁSA</w:t>
      </w:r>
    </w:p>
    <w:p w14:paraId="411A91B5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</w:p>
    <w:p w14:paraId="3354A864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  <w:r>
        <w:rPr>
          <w:bCs/>
          <w:iCs/>
        </w:rPr>
        <w:t>Az 1. §-hoz</w:t>
      </w:r>
    </w:p>
    <w:p w14:paraId="51CCE3C9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</w:p>
    <w:p w14:paraId="3C4B7F98" w14:textId="77777777" w:rsidR="00DD5C70" w:rsidRDefault="00DD5C70" w:rsidP="00DD5C70">
      <w:pPr>
        <w:widowControl/>
        <w:overflowPunct w:val="0"/>
        <w:autoSpaceDE w:val="0"/>
        <w:jc w:val="both"/>
        <w:textAlignment w:val="baseline"/>
        <w:rPr>
          <w:bCs/>
          <w:iCs/>
        </w:rPr>
      </w:pPr>
      <w:r>
        <w:rPr>
          <w:bCs/>
          <w:iCs/>
        </w:rPr>
        <w:t>A rendelet e szakasza rendelkezik a 2. mellékletben foglalt havi intézményi térítési díjak hatályon kívül helyezéséről.</w:t>
      </w:r>
    </w:p>
    <w:p w14:paraId="376AC170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</w:p>
    <w:p w14:paraId="158BA9A6" w14:textId="77777777" w:rsidR="00DD5C70" w:rsidRDefault="00DD5C70" w:rsidP="00DD5C70">
      <w:pPr>
        <w:widowControl/>
        <w:overflowPunct w:val="0"/>
        <w:autoSpaceDE w:val="0"/>
        <w:jc w:val="both"/>
        <w:textAlignment w:val="baseline"/>
        <w:rPr>
          <w:bCs/>
          <w:iCs/>
        </w:rPr>
      </w:pPr>
    </w:p>
    <w:p w14:paraId="29F8157B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  <w:r>
        <w:rPr>
          <w:bCs/>
          <w:iCs/>
        </w:rPr>
        <w:t>A 2. §-hoz</w:t>
      </w:r>
    </w:p>
    <w:p w14:paraId="2D5CD0CC" w14:textId="77777777" w:rsidR="00DD5C70" w:rsidRDefault="00DD5C70" w:rsidP="00DD5C70">
      <w:pPr>
        <w:widowControl/>
        <w:overflowPunct w:val="0"/>
        <w:autoSpaceDE w:val="0"/>
        <w:jc w:val="center"/>
        <w:textAlignment w:val="baseline"/>
        <w:rPr>
          <w:bCs/>
          <w:iCs/>
        </w:rPr>
      </w:pPr>
    </w:p>
    <w:p w14:paraId="5CC2F607" w14:textId="77777777" w:rsidR="00DD5C70" w:rsidRDefault="00DD5C70" w:rsidP="00DD5C70">
      <w:pPr>
        <w:widowControl/>
        <w:overflowPunct w:val="0"/>
        <w:autoSpaceDE w:val="0"/>
        <w:jc w:val="both"/>
        <w:textAlignment w:val="baseline"/>
        <w:rPr>
          <w:bCs/>
          <w:iCs/>
        </w:rPr>
      </w:pPr>
      <w:r>
        <w:rPr>
          <w:bCs/>
          <w:iCs/>
        </w:rPr>
        <w:t>A szakasz hatályba léptető rendelkezést tartalmaz. A rendelet-tervezet hatályba lépésének időpontja 2020. április 1.</w:t>
      </w:r>
    </w:p>
    <w:p w14:paraId="3E65552B" w14:textId="77777777" w:rsidR="00DD5C70" w:rsidRDefault="00DD5C70" w:rsidP="00DD5C70">
      <w:pPr>
        <w:widowControl/>
        <w:overflowPunct w:val="0"/>
        <w:autoSpaceDE w:val="0"/>
        <w:jc w:val="both"/>
        <w:textAlignment w:val="baseline"/>
        <w:rPr>
          <w:bCs/>
          <w:iCs/>
        </w:rPr>
      </w:pPr>
    </w:p>
    <w:p w14:paraId="5081184E" w14:textId="77777777" w:rsidR="00BC2917" w:rsidRDefault="00BC2917"/>
    <w:sectPr w:rsidR="00BC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70"/>
    <w:rsid w:val="008E7797"/>
    <w:rsid w:val="00BC2917"/>
    <w:rsid w:val="00D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4EF0"/>
  <w15:chartTrackingRefBased/>
  <w15:docId w15:val="{3048AD03-973D-40A3-ADFF-AF7132C9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C7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DD5C70"/>
    <w:pPr>
      <w:widowControl/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2020-03-24T07:43:00Z</dcterms:created>
  <dcterms:modified xsi:type="dcterms:W3CDTF">2020-03-24T07:43:00Z</dcterms:modified>
</cp:coreProperties>
</file>