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50" w:rsidRDefault="00791B5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Egerszalók Községi Önkormányzat Képviselő testületének</w:t>
      </w:r>
    </w:p>
    <w:p w:rsidR="003A2332" w:rsidRDefault="00791B5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1/2017.(I.27) önkormányzati rendeletéhez</w:t>
      </w:r>
    </w:p>
    <w:p w:rsidR="00FF73B1" w:rsidRPr="00FF73B1" w:rsidRDefault="00FF73B1" w:rsidP="00FF73B1">
      <w:pPr>
        <w:spacing w:after="120" w:line="240" w:lineRule="auto"/>
        <w:ind w:right="425" w:firstLine="360"/>
        <w:rPr>
          <w:rFonts w:ascii="Arial" w:eastAsia="Times New Roman" w:hAnsi="Arial" w:cs="Arial"/>
          <w:i/>
          <w:iCs/>
          <w:color w:val="FF0000"/>
          <w:sz w:val="24"/>
          <w:szCs w:val="24"/>
          <w:lang w:eastAsia="hu-HU"/>
        </w:rPr>
      </w:pPr>
    </w:p>
    <w:p w:rsidR="00FF73B1" w:rsidRPr="00FF73B1" w:rsidRDefault="00FF73B1" w:rsidP="00FF73B1">
      <w:pPr>
        <w:autoSpaceDE w:val="0"/>
        <w:autoSpaceDN w:val="0"/>
        <w:adjustRightInd w:val="0"/>
        <w:spacing w:after="12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FF73B1">
        <w:rPr>
          <w:rFonts w:ascii="Arial" w:eastAsia="Times New Roman" w:hAnsi="Arial" w:cs="Arial"/>
          <w:b/>
          <w:bCs/>
          <w:i/>
          <w:sz w:val="24"/>
          <w:szCs w:val="24"/>
          <w:lang w:eastAsia="hu-HU"/>
        </w:rPr>
        <w:t xml:space="preserve">5. számú </w:t>
      </w:r>
      <w:r w:rsidRPr="00FF73B1">
        <w:rPr>
          <w:rFonts w:ascii="Arial" w:eastAsia="Times New Roman" w:hAnsi="Arial" w:cs="Arial"/>
          <w:b/>
          <w:i/>
          <w:sz w:val="24"/>
          <w:szCs w:val="24"/>
          <w:lang w:eastAsia="hu-HU"/>
        </w:rPr>
        <w:t xml:space="preserve">függelék: </w:t>
      </w:r>
    </w:p>
    <w:p w:rsidR="00FF73B1" w:rsidRPr="00FF73B1" w:rsidRDefault="00FF73B1" w:rsidP="00FF73B1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FF73B1">
        <w:rPr>
          <w:rFonts w:ascii="Arial" w:eastAsia="Times New Roman" w:hAnsi="Arial" w:cs="Arial"/>
          <w:b/>
          <w:sz w:val="24"/>
          <w:szCs w:val="24"/>
          <w:lang w:eastAsia="hu-HU"/>
        </w:rPr>
        <w:t>Zajterhelési határértékek:</w:t>
      </w:r>
    </w:p>
    <w:p w:rsidR="00FF73B1" w:rsidRPr="00FF73B1" w:rsidRDefault="00FF73B1" w:rsidP="00FF73B1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0" w:name="pr78"/>
      <w:r w:rsidRPr="00FF73B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(A </w:t>
      </w:r>
      <w:bookmarkStart w:id="1" w:name="pr1"/>
      <w:r w:rsidRPr="00FF73B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27/2008. (XII. 3.) </w:t>
      </w:r>
      <w:proofErr w:type="spellStart"/>
      <w:r w:rsidRPr="00FF73B1">
        <w:rPr>
          <w:rFonts w:ascii="Arial" w:eastAsia="Times New Roman" w:hAnsi="Arial" w:cs="Arial"/>
          <w:b/>
          <w:sz w:val="24"/>
          <w:szCs w:val="24"/>
          <w:lang w:eastAsia="hu-HU"/>
        </w:rPr>
        <w:t>KvVM-EüM</w:t>
      </w:r>
      <w:proofErr w:type="spellEnd"/>
      <w:r w:rsidRPr="00FF73B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együttes rendelet</w:t>
      </w:r>
      <w:bookmarkEnd w:id="1"/>
      <w:r w:rsidRPr="00FF73B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bookmarkStart w:id="2" w:name="pr2"/>
      <w:r w:rsidRPr="00FF73B1">
        <w:rPr>
          <w:rFonts w:ascii="Arial" w:eastAsia="Times New Roman" w:hAnsi="Arial" w:cs="Arial"/>
          <w:b/>
          <w:sz w:val="24"/>
          <w:szCs w:val="24"/>
          <w:lang w:eastAsia="hu-HU"/>
        </w:rPr>
        <w:t>alapján</w:t>
      </w:r>
      <w:bookmarkEnd w:id="2"/>
      <w:r w:rsidRPr="00FF73B1">
        <w:rPr>
          <w:rFonts w:ascii="Arial" w:eastAsia="Times New Roman" w:hAnsi="Arial" w:cs="Arial"/>
          <w:b/>
          <w:sz w:val="24"/>
          <w:szCs w:val="24"/>
          <w:lang w:eastAsia="hu-HU"/>
        </w:rPr>
        <w:t>)</w:t>
      </w:r>
    </w:p>
    <w:p w:rsidR="00FF73B1" w:rsidRPr="00FF73B1" w:rsidRDefault="00FF73B1" w:rsidP="00FF73B1">
      <w:pPr>
        <w:spacing w:before="300" w:after="120" w:line="240" w:lineRule="auto"/>
        <w:ind w:left="150" w:right="15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FF73B1"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t>Üzemi és szabadidős létesítményektől származó zaj terhelési határértékei a zajtól védendő területeken</w:t>
      </w:r>
      <w:bookmarkEnd w:id="0"/>
    </w:p>
    <w:tbl>
      <w:tblPr>
        <w:tblW w:w="8696" w:type="dxa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5995"/>
        <w:gridCol w:w="1041"/>
        <w:gridCol w:w="1106"/>
      </w:tblGrid>
      <w:tr w:rsidR="00FF73B1" w:rsidRPr="00FF73B1" w:rsidTr="009A08D2">
        <w:trPr>
          <w:tblCellSpacing w:w="0" w:type="dxa"/>
        </w:trPr>
        <w:tc>
          <w:tcPr>
            <w:tcW w:w="554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3" w:name="pr79"/>
            <w:bookmarkEnd w:id="3"/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Sor-</w:t>
            </w: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</w: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Zajtól védendő terület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Határérték (LTH) az LAM</w:t>
            </w:r>
            <w:r w:rsidRPr="00FF73B1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hu-HU"/>
              </w:rPr>
              <w:t xml:space="preserve"> </w:t>
            </w:r>
            <w:r w:rsidRPr="00FF73B1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hu-HU"/>
              </w:rPr>
              <w:br/>
            </w: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megítélési szintre* </w:t>
            </w: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(dB)</w:t>
            </w:r>
          </w:p>
        </w:tc>
      </w:tr>
      <w:tr w:rsidR="00FF73B1" w:rsidRPr="00FF73B1" w:rsidTr="009A08D2">
        <w:trPr>
          <w:tblCellSpacing w:w="0" w:type="dxa"/>
        </w:trPr>
        <w:tc>
          <w:tcPr>
            <w:tcW w:w="554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4" w:name="pr80"/>
            <w:bookmarkEnd w:id="4"/>
          </w:p>
        </w:tc>
        <w:tc>
          <w:tcPr>
            <w:tcW w:w="5995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nappal</w:t>
            </w: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06-22 óra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éjjel </w:t>
            </w: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22-06 óra</w:t>
            </w:r>
          </w:p>
        </w:tc>
      </w:tr>
      <w:tr w:rsidR="00FF73B1" w:rsidRPr="00FF73B1" w:rsidTr="009A08D2">
        <w:trPr>
          <w:tblCellSpacing w:w="0" w:type="dxa"/>
        </w:trPr>
        <w:tc>
          <w:tcPr>
            <w:tcW w:w="554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5" w:name="pr81"/>
            <w:bookmarkEnd w:id="5"/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Üdülőterület, különleges területek közül az egészségügyi területek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</w:t>
            </w:r>
          </w:p>
        </w:tc>
      </w:tr>
      <w:tr w:rsidR="00FF73B1" w:rsidRPr="00FF73B1" w:rsidTr="009A08D2">
        <w:trPr>
          <w:tblCellSpacing w:w="0" w:type="dxa"/>
        </w:trPr>
        <w:tc>
          <w:tcPr>
            <w:tcW w:w="554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6" w:name="pr82"/>
            <w:bookmarkEnd w:id="6"/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Lakóterület (kisvárosias, kertvárosias, falusias, telepszerű beépítésű), különleges területek közül az oktatási, szociális létesítmények területe, a temetők, a zöldterület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</w:tr>
      <w:tr w:rsidR="00FF73B1" w:rsidRPr="00FF73B1" w:rsidTr="009A08D2">
        <w:trPr>
          <w:tblCellSpacing w:w="0" w:type="dxa"/>
        </w:trPr>
        <w:tc>
          <w:tcPr>
            <w:tcW w:w="554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7" w:name="pr83"/>
            <w:bookmarkEnd w:id="7"/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Lakóterület (nagyvárosias beépítésű), a vegyes terület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</w:t>
            </w:r>
          </w:p>
        </w:tc>
      </w:tr>
      <w:tr w:rsidR="00FF73B1" w:rsidRPr="00FF73B1" w:rsidTr="009A08D2">
        <w:trPr>
          <w:tblCellSpacing w:w="0" w:type="dxa"/>
        </w:trPr>
        <w:tc>
          <w:tcPr>
            <w:tcW w:w="554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8" w:name="pr84"/>
            <w:bookmarkEnd w:id="8"/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Gazdasági terület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</w:tr>
    </w:tbl>
    <w:p w:rsidR="00FF73B1" w:rsidRPr="00FF73B1" w:rsidRDefault="00FF73B1" w:rsidP="00FF73B1">
      <w:pPr>
        <w:spacing w:after="120" w:line="240" w:lineRule="auto"/>
        <w:ind w:left="150" w:right="195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9" w:name="pr85"/>
      <w:bookmarkEnd w:id="9"/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2"/>
      </w:tblGrid>
      <w:tr w:rsidR="00FF73B1" w:rsidRPr="00FF73B1" w:rsidTr="009A08D2">
        <w:trPr>
          <w:tblCellSpacing w:w="0" w:type="dxa"/>
        </w:trPr>
        <w:tc>
          <w:tcPr>
            <w:tcW w:w="12540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  <w:p w:rsidR="00FF73B1" w:rsidRPr="00FF73B1" w:rsidRDefault="00FF73B1" w:rsidP="00FF73B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F73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Megjegyzés:</w:t>
            </w:r>
          </w:p>
        </w:tc>
      </w:tr>
    </w:tbl>
    <w:p w:rsidR="00FF73B1" w:rsidRPr="00FF73B1" w:rsidRDefault="00FF73B1" w:rsidP="00FF73B1">
      <w:pPr>
        <w:spacing w:after="120" w:line="240" w:lineRule="auto"/>
        <w:ind w:left="150" w:right="195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10" w:name="pr86"/>
      <w:bookmarkEnd w:id="10"/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2"/>
      </w:tblGrid>
      <w:tr w:rsidR="00FF73B1" w:rsidRPr="00FF73B1" w:rsidTr="009A08D2">
        <w:trPr>
          <w:tblCellSpacing w:w="0" w:type="dxa"/>
        </w:trPr>
        <w:tc>
          <w:tcPr>
            <w:tcW w:w="12540" w:type="dxa"/>
            <w:shd w:val="clear" w:color="auto" w:fill="auto"/>
            <w:vAlign w:val="center"/>
          </w:tcPr>
          <w:p w:rsidR="00FF73B1" w:rsidRPr="00FF73B1" w:rsidRDefault="00FF73B1" w:rsidP="00FF73B1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F73B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* Értelmezése az MSZ 18150-1 szabvány és az MSZ 15037 szabvány szerint.</w:t>
            </w:r>
          </w:p>
        </w:tc>
      </w:tr>
    </w:tbl>
    <w:p w:rsidR="00FF73B1" w:rsidRDefault="00FF73B1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Pr="00086B3D" w:rsidRDefault="00086B3D" w:rsidP="00086B3D">
      <w:pPr>
        <w:spacing w:before="300" w:after="120" w:line="240" w:lineRule="auto"/>
        <w:ind w:left="150" w:right="15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bookmarkStart w:id="11" w:name="_GoBack"/>
      <w:bookmarkEnd w:id="11"/>
      <w:r w:rsidRPr="00086B3D">
        <w:rPr>
          <w:rFonts w:ascii="Arial" w:eastAsia="Times New Roman" w:hAnsi="Arial" w:cs="Arial"/>
          <w:b/>
          <w:bCs/>
          <w:i/>
          <w:iCs/>
          <w:sz w:val="24"/>
          <w:szCs w:val="24"/>
          <w:lang w:eastAsia="hu-HU"/>
        </w:rPr>
        <w:lastRenderedPageBreak/>
        <w:t>A közlekedéstől származó zaj terhelési határértékei a zajtól védendő területeken</w:t>
      </w: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1733"/>
        <w:gridCol w:w="825"/>
        <w:gridCol w:w="738"/>
        <w:gridCol w:w="1078"/>
        <w:gridCol w:w="10"/>
        <w:gridCol w:w="1009"/>
        <w:gridCol w:w="1457"/>
        <w:gridCol w:w="1517"/>
      </w:tblGrid>
      <w:tr w:rsidR="00086B3D" w:rsidRPr="00086B3D" w:rsidTr="009A08D2">
        <w:trPr>
          <w:tblCellSpacing w:w="0" w:type="dxa"/>
        </w:trPr>
        <w:tc>
          <w:tcPr>
            <w:tcW w:w="9256" w:type="dxa"/>
            <w:gridSpan w:val="9"/>
            <w:shd w:val="clear" w:color="auto" w:fill="auto"/>
            <w:vAlign w:val="center"/>
          </w:tcPr>
          <w:p w:rsidR="00086B3D" w:rsidRPr="00086B3D" w:rsidRDefault="00086B3D" w:rsidP="00086B3D">
            <w:pPr>
              <w:keepNext/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bookmarkStart w:id="12" w:name="pr101"/>
            <w:bookmarkEnd w:id="12"/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Határérték (LTH) az LAM’</w:t>
            </w:r>
            <w:proofErr w:type="spellStart"/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</w:t>
            </w:r>
            <w:proofErr w:type="spellEnd"/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megítélési szintre* </w:t>
            </w: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  <w:t>(dB)</w:t>
            </w:r>
          </w:p>
        </w:tc>
      </w:tr>
      <w:tr w:rsidR="00086B3D" w:rsidRPr="00086B3D" w:rsidTr="009A08D2">
        <w:trPr>
          <w:tblCellSpacing w:w="0" w:type="dxa"/>
        </w:trPr>
        <w:tc>
          <w:tcPr>
            <w:tcW w:w="585" w:type="dxa"/>
            <w:shd w:val="clear" w:color="auto" w:fill="auto"/>
            <w:vAlign w:val="center"/>
          </w:tcPr>
          <w:p w:rsidR="00086B3D" w:rsidRPr="00086B3D" w:rsidRDefault="00086B3D" w:rsidP="00086B3D">
            <w:pPr>
              <w:keepNext/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bookmarkStart w:id="13" w:name="pr102"/>
            <w:bookmarkEnd w:id="13"/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</w: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</w: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  <w:t>Sor-</w:t>
            </w: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86B3D" w:rsidRPr="00086B3D" w:rsidRDefault="00086B3D" w:rsidP="00086B3D">
            <w:pPr>
              <w:keepNext/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</w: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</w: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  <w:t>Zajtól védendő terület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086B3D" w:rsidRPr="00086B3D" w:rsidRDefault="00086B3D" w:rsidP="00086B3D">
            <w:pPr>
              <w:keepNext/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</w: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</w: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  <w:t>kiszolgáló úttól, lakóúttól származó zajra</w:t>
            </w:r>
          </w:p>
        </w:tc>
        <w:tc>
          <w:tcPr>
            <w:tcW w:w="2152" w:type="dxa"/>
            <w:gridSpan w:val="3"/>
            <w:shd w:val="clear" w:color="auto" w:fill="auto"/>
            <w:vAlign w:val="center"/>
          </w:tcPr>
          <w:p w:rsidR="00086B3D" w:rsidRPr="00086B3D" w:rsidRDefault="00086B3D" w:rsidP="00086B3D">
            <w:pPr>
              <w:keepNext/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az országos közúthálózatba tartozó mellékutaktól, a települési önkormányzat tulajdonában lévő </w:t>
            </w:r>
            <w:proofErr w:type="spellStart"/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gyűjtőutaktól</w:t>
            </w:r>
            <w:proofErr w:type="spellEnd"/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és külterületi közutaktól, a vasúti mellékvonaltól és pályaudvarától, a repülőtértől, illetve a nem nyilvános fel- és leszállóhelyektől** származó zajra</w:t>
            </w:r>
          </w:p>
        </w:tc>
        <w:tc>
          <w:tcPr>
            <w:tcW w:w="3115" w:type="dxa"/>
            <w:gridSpan w:val="2"/>
            <w:shd w:val="clear" w:color="auto" w:fill="auto"/>
            <w:vAlign w:val="center"/>
          </w:tcPr>
          <w:p w:rsidR="00086B3D" w:rsidRPr="00086B3D" w:rsidRDefault="00086B3D" w:rsidP="00086B3D">
            <w:pPr>
              <w:keepNext/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  <w:t>az országos közúthálózatba tartozó gyorsforgalmi utaktól és főutaktól, a települési önkormányzat tulajdonában lévő belterületi gyorsforgalmi utaktól, belterületi elsőrendű főutaktól és belterületi másodrendű főutaktól, az autóbusz-pályaudvartól, a vasúti fővonaltól és pályaudvarától, a repülőtértől, illetve a nem nyilvános fel és leszállóhelytől*** származó zajra</w:t>
            </w:r>
          </w:p>
        </w:tc>
      </w:tr>
      <w:tr w:rsidR="00086B3D" w:rsidRPr="00086B3D" w:rsidTr="009A08D2">
        <w:trPr>
          <w:tblCellSpacing w:w="0" w:type="dxa"/>
        </w:trPr>
        <w:tc>
          <w:tcPr>
            <w:tcW w:w="585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bookmarkStart w:id="14" w:name="pr103"/>
            <w:bookmarkEnd w:id="14"/>
          </w:p>
        </w:tc>
        <w:tc>
          <w:tcPr>
            <w:tcW w:w="1784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nappal </w:t>
            </w: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  <w:t>06-22 óra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éjjel </w:t>
            </w: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  <w:t>22-06 óra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nappal</w:t>
            </w: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  <w:t>06-22 óra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éjjel </w:t>
            </w: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  <w:t>22-06 óra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nappal </w:t>
            </w: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  <w:t>06-22 óra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éjjel </w:t>
            </w: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br/>
              <w:t>22-06 óra</w:t>
            </w:r>
          </w:p>
        </w:tc>
      </w:tr>
      <w:tr w:rsidR="00086B3D" w:rsidRPr="00086B3D" w:rsidTr="009A08D2">
        <w:trPr>
          <w:tblCellSpacing w:w="0" w:type="dxa"/>
        </w:trPr>
        <w:tc>
          <w:tcPr>
            <w:tcW w:w="585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bookmarkStart w:id="15" w:name="pr104"/>
            <w:bookmarkEnd w:id="15"/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Üdülőterület, különleges területek közül az egészségügyi terület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55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</w:t>
            </w:r>
          </w:p>
        </w:tc>
      </w:tr>
      <w:tr w:rsidR="00086B3D" w:rsidRPr="00086B3D" w:rsidTr="009A08D2">
        <w:trPr>
          <w:tblCellSpacing w:w="0" w:type="dxa"/>
        </w:trPr>
        <w:tc>
          <w:tcPr>
            <w:tcW w:w="585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bookmarkStart w:id="16" w:name="pr105"/>
            <w:bookmarkEnd w:id="16"/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Lakóterület (kisvárosias, kertvárosias, falusias, telepszerű beépítésű), különleges területek közül az oktatási, szociális létesítmények területei, és a temetők, a zöldterület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55</w:t>
            </w:r>
          </w:p>
        </w:tc>
      </w:tr>
      <w:tr w:rsidR="00086B3D" w:rsidRPr="00086B3D" w:rsidTr="009A08D2">
        <w:trPr>
          <w:tblCellSpacing w:w="0" w:type="dxa"/>
        </w:trPr>
        <w:tc>
          <w:tcPr>
            <w:tcW w:w="585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bookmarkStart w:id="17" w:name="pr106"/>
            <w:bookmarkEnd w:id="17"/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Lakóterület (nagyvárosias beépítésű), a vegyes terület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55</w:t>
            </w:r>
          </w:p>
        </w:tc>
      </w:tr>
      <w:tr w:rsidR="00086B3D" w:rsidRPr="00086B3D" w:rsidTr="009A08D2">
        <w:trPr>
          <w:tblCellSpacing w:w="0" w:type="dxa"/>
        </w:trPr>
        <w:tc>
          <w:tcPr>
            <w:tcW w:w="585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bookmarkStart w:id="18" w:name="pr107"/>
            <w:bookmarkEnd w:id="18"/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Gazdasági terület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55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55</w:t>
            </w:r>
          </w:p>
        </w:tc>
      </w:tr>
    </w:tbl>
    <w:p w:rsidR="00086B3D" w:rsidRPr="00086B3D" w:rsidRDefault="00086B3D" w:rsidP="00086B3D">
      <w:pPr>
        <w:spacing w:after="120" w:line="240" w:lineRule="auto"/>
        <w:ind w:left="150" w:right="195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19" w:name="pr108"/>
      <w:bookmarkEnd w:id="19"/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2"/>
      </w:tblGrid>
      <w:tr w:rsidR="00086B3D" w:rsidRPr="00086B3D" w:rsidTr="009A08D2">
        <w:trPr>
          <w:tblCellSpacing w:w="0" w:type="dxa"/>
        </w:trPr>
        <w:tc>
          <w:tcPr>
            <w:tcW w:w="12540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  <w:p w:rsidR="00086B3D" w:rsidRPr="00086B3D" w:rsidRDefault="00086B3D" w:rsidP="00086B3D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86B3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Megjegyzés:</w:t>
            </w:r>
          </w:p>
        </w:tc>
      </w:tr>
    </w:tbl>
    <w:p w:rsidR="00086B3D" w:rsidRPr="00086B3D" w:rsidRDefault="00086B3D" w:rsidP="00086B3D">
      <w:pPr>
        <w:spacing w:after="120" w:line="240" w:lineRule="auto"/>
        <w:ind w:left="150" w:right="195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0" w:name="pr109"/>
      <w:bookmarkEnd w:id="20"/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2"/>
      </w:tblGrid>
      <w:tr w:rsidR="00086B3D" w:rsidRPr="00086B3D" w:rsidTr="009A08D2">
        <w:trPr>
          <w:tblCellSpacing w:w="0" w:type="dxa"/>
        </w:trPr>
        <w:tc>
          <w:tcPr>
            <w:tcW w:w="12540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* Értelmezése a stratégiai zajtérképek és intézkedési tervek készítésének részletes szabályairól szóló rendelet szerint.</w:t>
            </w:r>
          </w:p>
        </w:tc>
      </w:tr>
    </w:tbl>
    <w:p w:rsidR="00086B3D" w:rsidRPr="00086B3D" w:rsidRDefault="00086B3D" w:rsidP="00086B3D">
      <w:pPr>
        <w:spacing w:after="120" w:line="240" w:lineRule="auto"/>
        <w:ind w:left="150" w:right="195"/>
        <w:jc w:val="both"/>
        <w:rPr>
          <w:rFonts w:ascii="Arial" w:eastAsia="Times New Roman" w:hAnsi="Arial" w:cs="Arial"/>
          <w:vanish/>
          <w:sz w:val="18"/>
          <w:szCs w:val="18"/>
          <w:lang w:eastAsia="hu-HU"/>
        </w:rPr>
      </w:pPr>
      <w:bookmarkStart w:id="21" w:name="pr110"/>
      <w:bookmarkEnd w:id="21"/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2"/>
      </w:tblGrid>
      <w:tr w:rsidR="00086B3D" w:rsidRPr="00086B3D" w:rsidTr="009A08D2">
        <w:trPr>
          <w:tblCellSpacing w:w="0" w:type="dxa"/>
        </w:trPr>
        <w:tc>
          <w:tcPr>
            <w:tcW w:w="12540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** Olyan repülőterek, vagy nem nyilvános fel- és leszállóhelyek, ahol 5,7 tonna maximális felszálló tömegnél kisebb, légcsavaros repülőgépek, illetve 2,73 tonna maximális felszálló tömegnél kisebb helikopterek közlekednek.</w:t>
            </w:r>
          </w:p>
        </w:tc>
      </w:tr>
    </w:tbl>
    <w:p w:rsidR="00086B3D" w:rsidRPr="00086B3D" w:rsidRDefault="00086B3D" w:rsidP="00086B3D">
      <w:pPr>
        <w:spacing w:after="120" w:line="240" w:lineRule="auto"/>
        <w:ind w:left="150" w:right="195"/>
        <w:jc w:val="both"/>
        <w:rPr>
          <w:rFonts w:ascii="Arial" w:eastAsia="Times New Roman" w:hAnsi="Arial" w:cs="Arial"/>
          <w:vanish/>
          <w:sz w:val="18"/>
          <w:szCs w:val="18"/>
          <w:lang w:eastAsia="hu-HU"/>
        </w:rPr>
      </w:pPr>
      <w:bookmarkStart w:id="22" w:name="pr111"/>
      <w:bookmarkEnd w:id="22"/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2"/>
      </w:tblGrid>
      <w:tr w:rsidR="00086B3D" w:rsidRPr="00086B3D" w:rsidTr="009A08D2">
        <w:trPr>
          <w:tblCellSpacing w:w="0" w:type="dxa"/>
        </w:trPr>
        <w:tc>
          <w:tcPr>
            <w:tcW w:w="9256" w:type="dxa"/>
            <w:shd w:val="clear" w:color="auto" w:fill="auto"/>
            <w:vAlign w:val="center"/>
          </w:tcPr>
          <w:p w:rsidR="00086B3D" w:rsidRPr="00086B3D" w:rsidRDefault="00086B3D" w:rsidP="00086B3D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*** Olyan repülőterek, vagy nem nyilvános fel- és leszállóhelyek, ahol 5,7 tonna maximális felszálló tömegű vagy annál nagyobb, légcsavaros repülőgépek, 2,73 tonna maximális felszálló tömegű vagy annál nagyobb helikopterek, valamint sugárhajtású </w:t>
            </w:r>
            <w:proofErr w:type="spellStart"/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légijárművek</w:t>
            </w:r>
            <w:proofErr w:type="spellEnd"/>
            <w:r w:rsidRPr="00086B3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közlekednek.</w:t>
            </w:r>
          </w:p>
        </w:tc>
      </w:tr>
    </w:tbl>
    <w:p w:rsidR="00086B3D" w:rsidRPr="00086B3D" w:rsidRDefault="00086B3D" w:rsidP="00086B3D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p w:rsidR="00086B3D" w:rsidRDefault="00086B3D" w:rsidP="00FF73B1">
      <w:pPr>
        <w:rPr>
          <w:rFonts w:ascii="Arial" w:hAnsi="Arial" w:cs="Arial"/>
          <w:i/>
        </w:rPr>
      </w:pPr>
    </w:p>
    <w:sectPr w:rsidR="0008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AD1"/>
    <w:multiLevelType w:val="hybridMultilevel"/>
    <w:tmpl w:val="E1F62E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50"/>
    <w:rsid w:val="00082B4C"/>
    <w:rsid w:val="00086B3D"/>
    <w:rsid w:val="00166D49"/>
    <w:rsid w:val="001C7B83"/>
    <w:rsid w:val="00247F98"/>
    <w:rsid w:val="00300374"/>
    <w:rsid w:val="003268DD"/>
    <w:rsid w:val="003A2332"/>
    <w:rsid w:val="004346B5"/>
    <w:rsid w:val="00461CE0"/>
    <w:rsid w:val="00493897"/>
    <w:rsid w:val="0057166D"/>
    <w:rsid w:val="00791B50"/>
    <w:rsid w:val="00817AFC"/>
    <w:rsid w:val="00842D77"/>
    <w:rsid w:val="008F3B20"/>
    <w:rsid w:val="00A91A5E"/>
    <w:rsid w:val="00BA6180"/>
    <w:rsid w:val="00D35B94"/>
    <w:rsid w:val="00D55606"/>
    <w:rsid w:val="00D83F07"/>
    <w:rsid w:val="00D9529A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7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7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365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7</cp:revision>
  <dcterms:created xsi:type="dcterms:W3CDTF">2017-01-29T20:44:00Z</dcterms:created>
  <dcterms:modified xsi:type="dcterms:W3CDTF">2017-01-29T20:54:00Z</dcterms:modified>
</cp:coreProperties>
</file>